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0D1822"/>
            <w:tcBorders>
              <w:top w:val="single" w:sz="6" w:color="0D1822"/>
              <w:left w:val="single" w:sz="6" w:color="0D1822"/>
              <w:bottom w:val="single" w:sz="6" w:color="0D1822"/>
              <w:right w:val="single" w:sz="6" w:color="0D1822"/>
              <w:insideH w:val="single" w:sz="6" w:color="0D1822"/>
              <w:insideV w:val="single" w:sz="6" w:color="0D1822"/>
            </w:tcBorders>
          </w:tcPr>
          <w:p>
            <w:pPr>
              <w:spacing w:before="440" w:after="200"/>
            </w:pPr>
            <w:r>
              <w:rPr>
                <w:rFonts w:ascii="Aptos Display" w:hAnsi="Aptos Display"/>
                <w:b/>
                <w:color w:val="FFFFFF"/>
                <w:sz w:val="32"/>
              </w:rPr>
              <w:t>CACIMBO ERP</w:t>
            </w:r>
          </w:p>
          <w:p>
            <w:pPr>
              <w:spacing w:after="240"/>
            </w:pPr>
            <w:r>
              <w:rPr>
                <w:rFonts w:ascii="Aptos" w:hAnsi="Aptos"/>
                <w:b/>
                <w:color w:val="E5163E"/>
                <w:sz w:val="20"/>
              </w:rPr>
              <w:t>MANUAL ILUSTRADO DE IMPLEMENTAÇÃO</w:t>
            </w:r>
          </w:p>
          <w:p>
            <w:pPr>
              <w:spacing w:after="200"/>
            </w:pPr>
            <w:r>
              <w:rPr>
                <w:rFonts w:ascii="Aptos Display" w:hAnsi="Aptos Display"/>
                <w:b/>
                <w:color w:val="FFFFFF"/>
                <w:sz w:val="54"/>
              </w:rPr>
              <w:t>Taxa de Turismo em Angola</w:t>
            </w:r>
          </w:p>
          <w:p>
            <w:pPr>
              <w:spacing w:after="560"/>
            </w:pPr>
            <w:r>
              <w:rPr>
                <w:rFonts w:ascii="Aptos" w:hAnsi="Aptos"/>
                <w:color w:val="D8E0E5"/>
                <w:sz w:val="26"/>
              </w:rPr>
              <w:t>Configuração, utilização e validação no módulo de Gestão Hoteleira do Cacimbo ERP.</w:t>
            </w:r>
          </w:p>
          <w:p>
            <w:pPr>
              <w:spacing w:after="440"/>
            </w:pPr>
            <w:r>
              <w:rPr>
                <w:rFonts w:ascii="Aptos" w:hAnsi="Aptos"/>
                <w:color w:val="FFFFFF"/>
                <w:sz w:val="20"/>
              </w:rPr>
              <w:t>Versão 8.2026.0298  •  15 de outubro de 2026  •  Parceiros e equipas de implementação</w:t>
            </w:r>
          </w:p>
          <w:p/>
          <w:p/>
          <w:p/>
        </w:tc>
      </w:tr>
    </w:tbl>
    <w:p>
      <w:pPr>
        <w:jc w:val="center"/>
      </w:pPr>
      <w:r>
        <w:rPr>
          <w:color w:val="5F6B73"/>
          <w:sz w:val="17"/>
        </w:rPr>
        <w:t>Documento interno Cacimbo — validar sempre a legislação e os procedimentos do cliente.</w:t>
      </w:r>
    </w:p>
    <w:p>
      <w:r>
        <w:br w:type="page"/>
      </w:r>
    </w:p>
    <w:p>
      <w:pPr>
        <w:pStyle w:val="Heading1"/>
      </w:pPr>
      <w:r>
        <w:t>Antes de começar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9"/>
      </w:tblGrid>
      <w:tr>
        <w:tc>
          <w:tcPr>
            <w:tcW w:type="dxa" w:w="9866"/>
            <w:shd w:fill="FCE8ED"/>
            <w:tcBorders>
              <w:top w:val="single" w:sz="14" w:color="E5163E"/>
              <w:left w:val="single" w:sz="14" w:color="E5163E"/>
              <w:bottom w:val="single" w:sz="14" w:color="E5163E"/>
              <w:right w:val="single" w:sz="14" w:color="E5163E"/>
              <w:insideH w:val="single" w:sz="14" w:color="E5163E"/>
              <w:insideV w:val="single" w:sz="14" w:color="E5163E"/>
            </w:tcBorders>
          </w:tcPr>
          <w:p>
            <w:pPr>
              <w:spacing w:after="60"/>
            </w:pPr>
            <w:r/>
            <w:r>
              <w:rPr>
                <w:b/>
                <w:color w:val="B90E3D"/>
                <w:sz w:val="20"/>
              </w:rPr>
              <w:t>Versão mínima</w:t>
            </w:r>
          </w:p>
          <w:p>
            <w:pPr>
              <w:spacing w:after="40"/>
            </w:pPr>
            <w:r>
              <w:rPr>
                <w:sz w:val="18"/>
              </w:rPr>
              <w:t>Usar o Cacimbo ERP 8.2026.0298 ou superior. Fazer cópia de segurança da base da empresa antes da atualização.</w:t>
            </w:r>
          </w:p>
        </w:tc>
      </w:tr>
    </w:tbl>
    <w:p>
      <w:pPr>
        <w:spacing w:after="0"/>
      </w:pPr>
    </w:p>
    <w:p>
      <w:r>
        <w:t>A Taxa de Turismo é aplicada a turistas internacionais elegíveis. O sistema calcula o valor e limita as noites, mas o operador deve confirmar residência e idade do hóspede.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regra_leg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color w:val="5F6B73"/>
          <w:sz w:val="17"/>
        </w:rPr>
        <w:t>Figura 1 — Regra usada na configuração padrão Cacimbo.</w:t>
      </w:r>
    </w:p>
    <w:p>
      <w:pPr>
        <w:pStyle w:val="Heading1"/>
      </w:pPr>
      <w:r>
        <w:t>1. Confirmar a elegibilidade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decisao_operado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color w:val="5F6B73"/>
          <w:sz w:val="17"/>
        </w:rPr>
        <w:t>Figura 2 — Decisão antes de adicionar a despesa TT.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236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Hóspede</w:t>
            </w:r>
          </w:p>
        </w:tc>
        <w:tc>
          <w:tcPr>
            <w:tcW w:type="dxa" w:w="2835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Aplicar TT?</w:t>
            </w:r>
          </w:p>
        </w:tc>
      </w:tr>
      <w:tr>
        <w:tc>
          <w:tcPr>
            <w:tcW w:type="dxa" w:w="6236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Cidadão angolano</w:t>
            </w:r>
          </w:p>
        </w:tc>
        <w:tc>
          <w:tcPr>
            <w:tcW w:type="dxa" w:w="283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Não</w:t>
            </w:r>
          </w:p>
        </w:tc>
      </w:tr>
      <w:tr>
        <w:tc>
          <w:tcPr>
            <w:tcW w:type="dxa" w:w="6236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Estrangeiro residente em Angola</w:t>
            </w:r>
          </w:p>
        </w:tc>
        <w:tc>
          <w:tcPr>
            <w:tcW w:type="dxa" w:w="283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Não</w:t>
            </w:r>
          </w:p>
        </w:tc>
      </w:tr>
      <w:tr>
        <w:tc>
          <w:tcPr>
            <w:tcW w:type="dxa" w:w="6236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Estrangeiro não residente com menos de 12 anos</w:t>
            </w:r>
          </w:p>
        </w:tc>
        <w:tc>
          <w:tcPr>
            <w:tcW w:type="dxa" w:w="283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Não</w:t>
            </w:r>
          </w:p>
        </w:tc>
      </w:tr>
      <w:tr>
        <w:tc>
          <w:tcPr>
            <w:tcW w:type="dxa" w:w="6236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Estrangeiro não residente com 12 anos ou mais</w:t>
            </w:r>
          </w:p>
        </w:tc>
        <w:tc>
          <w:tcPr>
            <w:tcW w:type="dxa" w:w="283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Sim</w:t>
            </w:r>
          </w:p>
        </w:tc>
      </w:tr>
    </w:tbl>
    <w:p>
      <w:pPr>
        <w:spacing w:after="0"/>
      </w:pPr>
    </w:p>
    <w:p>
      <w:pPr>
        <w:pStyle w:val="Heading1"/>
      </w:pPr>
      <w:r>
        <w:t>2. Verificar o artigo TT</w:t>
      </w:r>
    </w:p>
    <w:p>
      <w:r>
        <w:t>No cadastro de artigos, confirmar os seguintes dados: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artigo_t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color w:val="5F6B73"/>
          <w:sz w:val="17"/>
        </w:rPr>
        <w:t>Figura 3 — Artigo padrão TT incluído na base modelo.</w:t>
      </w:r>
    </w:p>
    <w:p>
      <w:pPr>
        <w:pStyle w:val="ListBullet"/>
        <w:spacing w:after="60"/>
      </w:pPr>
      <w:r>
        <w:t>Código: TT; Nome: Taxa de Turismo.</w:t>
      </w:r>
    </w:p>
    <w:p>
      <w:pPr>
        <w:pStyle w:val="ListBullet"/>
        <w:spacing w:after="60"/>
      </w:pPr>
      <w:r>
        <w:t>Categoria: Alojamento.</w:t>
      </w:r>
    </w:p>
    <w:p>
      <w:pPr>
        <w:pStyle w:val="ListBullet"/>
        <w:spacing w:after="60"/>
      </w:pPr>
      <w:r>
        <w:t>Tipo: Mercadoria sem IVA; regra IVA NS/OUT a 0%.</w:t>
      </w:r>
    </w:p>
    <w:p>
      <w:pPr>
        <w:pStyle w:val="ListBullet"/>
        <w:spacing w:after="60"/>
      </w:pPr>
      <w:r>
        <w:t>Unidade: UN; preço base 0.</w:t>
      </w:r>
    </w:p>
    <w:p>
      <w:pPr>
        <w:pStyle w:val="ListBullet"/>
        <w:spacing w:after="60"/>
      </w:pPr>
      <w:r>
        <w:t>Não controla nem movimenta stock.</w:t>
      </w:r>
    </w:p>
    <w:p>
      <w:pPr>
        <w:pStyle w:val="ListBullet"/>
        <w:spacing w:after="60"/>
      </w:pPr>
      <w:r>
        <w:t>Não alterar o preço do artigo: a percentagem é definida no tipo de despesa.</w:t>
      </w:r>
    </w:p>
    <w:p>
      <w:pPr>
        <w:pStyle w:val="Heading1"/>
      </w:pPr>
      <w:r>
        <w:t>3. Configurar o tipo de despesa</w:t>
      </w:r>
    </w:p>
    <w:p>
      <w:r>
        <w:t>Na Gestão Hoteleira, abrir Tipos de Despesa e criar ou rever a linha Taxa Turismo.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tipo_despesa_t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color w:val="5F6B73"/>
          <w:sz w:val="17"/>
        </w:rPr>
        <w:t>Figura 4 — Campos obrigatórios do tipo de despesa TT.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268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1814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Valor</w:t>
            </w:r>
          </w:p>
        </w:tc>
        <w:tc>
          <w:tcPr>
            <w:tcW w:type="dxa" w:w="4989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Porquê</w:t>
            </w:r>
          </w:p>
        </w:tc>
      </w:tr>
      <w:tr>
        <w:tc>
          <w:tcPr>
            <w:tcW w:type="dxa" w:w="226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Origem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Artigo</w:t>
            </w:r>
          </w:p>
        </w:tc>
        <w:tc>
          <w:tcPr>
            <w:tcW w:type="dxa" w:w="498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 emissão usa o cadastro do artigo TT.</w:t>
            </w:r>
          </w:p>
        </w:tc>
      </w:tr>
      <w:tr>
        <w:tc>
          <w:tcPr>
            <w:tcW w:type="dxa" w:w="2268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Rubrica</w:t>
            </w:r>
          </w:p>
        </w:tc>
        <w:tc>
          <w:tcPr>
            <w:tcW w:type="dxa" w:w="1814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</w:t>
            </w:r>
          </w:p>
        </w:tc>
        <w:tc>
          <w:tcPr>
            <w:tcW w:type="dxa" w:w="498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Liga a despesa ao artigo.</w:t>
            </w:r>
          </w:p>
        </w:tc>
      </w:tr>
      <w:tr>
        <w:tc>
          <w:tcPr>
            <w:tcW w:type="dxa" w:w="226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Descrição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Taxa Turismo</w:t>
            </w:r>
          </w:p>
        </w:tc>
        <w:tc>
          <w:tcPr>
            <w:tcW w:type="dxa" w:w="498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Texto apresentado ao operador.</w:t>
            </w:r>
          </w:p>
        </w:tc>
      </w:tr>
      <w:tr>
        <w:tc>
          <w:tcPr>
            <w:tcW w:type="dxa" w:w="2268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Valor</w:t>
            </w:r>
          </w:p>
        </w:tc>
        <w:tc>
          <w:tcPr>
            <w:tcW w:type="dxa" w:w="1814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5</w:t>
            </w:r>
          </w:p>
        </w:tc>
        <w:tc>
          <w:tcPr>
            <w:tcW w:type="dxa" w:w="498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Percentagem da diária.</w:t>
            </w:r>
          </w:p>
        </w:tc>
      </w:tr>
      <w:tr>
        <w:tc>
          <w:tcPr>
            <w:tcW w:type="dxa" w:w="226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Diário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Marcado</w:t>
            </w:r>
          </w:p>
        </w:tc>
        <w:tc>
          <w:tcPr>
            <w:tcW w:type="dxa" w:w="498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Quantidade baseada nas noites.</w:t>
            </w:r>
          </w:p>
        </w:tc>
      </w:tr>
      <w:tr>
        <w:tc>
          <w:tcPr>
            <w:tcW w:type="dxa" w:w="2268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Unidade</w:t>
            </w:r>
          </w:p>
        </w:tc>
        <w:tc>
          <w:tcPr>
            <w:tcW w:type="dxa" w:w="1814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%</w:t>
            </w:r>
          </w:p>
        </w:tc>
        <w:tc>
          <w:tcPr>
            <w:tcW w:type="dxa" w:w="498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Ativa o cálculo percentual.</w:t>
            </w:r>
          </w:p>
        </w:tc>
      </w:tr>
      <w:tr>
        <w:tc>
          <w:tcPr>
            <w:tcW w:type="dxa" w:w="226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C/D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D</w:t>
            </w:r>
          </w:p>
        </w:tc>
        <w:tc>
          <w:tcPr>
            <w:tcW w:type="dxa" w:w="498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Despesa a débito do hóspede.</w:t>
            </w:r>
          </w:p>
        </w:tc>
      </w:tr>
      <w:tr>
        <w:tc>
          <w:tcPr>
            <w:tcW w:type="dxa" w:w="2268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Máx. quant.</w:t>
            </w:r>
          </w:p>
        </w:tc>
        <w:tc>
          <w:tcPr>
            <w:tcW w:type="dxa" w:w="1814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7</w:t>
            </w:r>
          </w:p>
        </w:tc>
        <w:tc>
          <w:tcPr>
            <w:tcW w:type="dxa" w:w="498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Limite de pernoites.</w:t>
            </w:r>
          </w:p>
        </w:tc>
      </w:tr>
      <w:tr>
        <w:tc>
          <w:tcPr>
            <w:tcW w:type="dxa" w:w="226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Limitar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Marcado</w:t>
            </w:r>
          </w:p>
        </w:tc>
        <w:tc>
          <w:tcPr>
            <w:tcW w:type="dxa" w:w="498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Impede exceder o máximo.</w:t>
            </w:r>
          </w:p>
        </w:tc>
      </w:tr>
    </w:tbl>
    <w:p>
      <w:pPr>
        <w:spacing w:after="0"/>
      </w:pPr>
    </w:p>
    <w:p>
      <w:pPr>
        <w:pStyle w:val="Heading1"/>
      </w:pPr>
      <w:r>
        <w:t>4. Aplicar numa reserva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8617"/>
      </w:tblGrid>
      <w:tr>
        <w:tc>
          <w:tcPr>
            <w:tcW w:type="dxa" w:w="4933"/>
            <w:shd w:fill="E5163E"/>
            <w:tcBorders>
              <w:top w:val="single" w:sz="6" w:color="E5163E"/>
              <w:left w:val="single" w:sz="6" w:color="E5163E"/>
              <w:bottom w:val="single" w:sz="6" w:color="E5163E"/>
              <w:right w:val="single" w:sz="6" w:color="E5163E"/>
              <w:insideH w:val="single" w:sz="6" w:color="E5163E"/>
              <w:insideV w:val="single" w:sz="6" w:color="E5163E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22"/>
              </w:rPr>
              <w:t>1</w:t>
            </w:r>
          </w:p>
        </w:tc>
        <w:tc>
          <w:tcPr>
            <w:tcW w:type="dxa" w:w="4933"/>
            <w:shd w:fill="F3F6F8"/>
            <w:tcBorders>
              <w:top w:val="single" w:sz="6" w:color="F3F6F8"/>
              <w:left w:val="single" w:sz="6" w:color="F3F6F8"/>
              <w:bottom w:val="single" w:sz="6" w:color="F3F6F8"/>
              <w:right w:val="single" w:sz="6" w:color="F3F6F8"/>
              <w:insideH w:val="single" w:sz="6" w:color="F3F6F8"/>
              <w:insideV w:val="single" w:sz="6" w:color="F3F6F8"/>
            </w:tcBorders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9"/>
              </w:rPr>
              <w:t>Abrir a reserva e confirmar a identidade, residência e idade do hóspede.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8617"/>
      </w:tblGrid>
      <w:tr>
        <w:tc>
          <w:tcPr>
            <w:tcW w:type="dxa" w:w="4933"/>
            <w:shd w:fill="E5163E"/>
            <w:tcBorders>
              <w:top w:val="single" w:sz="6" w:color="E5163E"/>
              <w:left w:val="single" w:sz="6" w:color="E5163E"/>
              <w:bottom w:val="single" w:sz="6" w:color="E5163E"/>
              <w:right w:val="single" w:sz="6" w:color="E5163E"/>
              <w:insideH w:val="single" w:sz="6" w:color="E5163E"/>
              <w:insideV w:val="single" w:sz="6" w:color="E5163E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22"/>
              </w:rPr>
              <w:t>2</w:t>
            </w:r>
          </w:p>
        </w:tc>
        <w:tc>
          <w:tcPr>
            <w:tcW w:type="dxa" w:w="4933"/>
            <w:shd w:fill="F3F6F8"/>
            <w:tcBorders>
              <w:top w:val="single" w:sz="6" w:color="F3F6F8"/>
              <w:left w:val="single" w:sz="6" w:color="F3F6F8"/>
              <w:bottom w:val="single" w:sz="6" w:color="F3F6F8"/>
              <w:right w:val="single" w:sz="6" w:color="F3F6F8"/>
              <w:insideH w:val="single" w:sz="6" w:color="F3F6F8"/>
              <w:insideV w:val="single" w:sz="6" w:color="F3F6F8"/>
            </w:tcBorders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9"/>
              </w:rPr>
              <w:t>Abrir as despesas do quarto.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8617"/>
      </w:tblGrid>
      <w:tr>
        <w:tc>
          <w:tcPr>
            <w:tcW w:type="dxa" w:w="4933"/>
            <w:shd w:fill="E5163E"/>
            <w:tcBorders>
              <w:top w:val="single" w:sz="6" w:color="E5163E"/>
              <w:left w:val="single" w:sz="6" w:color="E5163E"/>
              <w:bottom w:val="single" w:sz="6" w:color="E5163E"/>
              <w:right w:val="single" w:sz="6" w:color="E5163E"/>
              <w:insideH w:val="single" w:sz="6" w:color="E5163E"/>
              <w:insideV w:val="single" w:sz="6" w:color="E5163E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22"/>
              </w:rPr>
              <w:t>3</w:t>
            </w:r>
          </w:p>
        </w:tc>
        <w:tc>
          <w:tcPr>
            <w:tcW w:type="dxa" w:w="4933"/>
            <w:shd w:fill="F3F6F8"/>
            <w:tcBorders>
              <w:top w:val="single" w:sz="6" w:color="F3F6F8"/>
              <w:left w:val="single" w:sz="6" w:color="F3F6F8"/>
              <w:bottom w:val="single" w:sz="6" w:color="F3F6F8"/>
              <w:right w:val="single" w:sz="6" w:color="F3F6F8"/>
              <w:insideH w:val="single" w:sz="6" w:color="F3F6F8"/>
              <w:insideV w:val="single" w:sz="6" w:color="F3F6F8"/>
            </w:tcBorders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9"/>
              </w:rPr>
              <w:t>Adicionar uma nova linha e selecionar Taxa Turismo.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8617"/>
      </w:tblGrid>
      <w:tr>
        <w:tc>
          <w:tcPr>
            <w:tcW w:type="dxa" w:w="4933"/>
            <w:shd w:fill="E5163E"/>
            <w:tcBorders>
              <w:top w:val="single" w:sz="6" w:color="E5163E"/>
              <w:left w:val="single" w:sz="6" w:color="E5163E"/>
              <w:bottom w:val="single" w:sz="6" w:color="E5163E"/>
              <w:right w:val="single" w:sz="6" w:color="E5163E"/>
              <w:insideH w:val="single" w:sz="6" w:color="E5163E"/>
              <w:insideV w:val="single" w:sz="6" w:color="E5163E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22"/>
              </w:rPr>
              <w:t>4</w:t>
            </w:r>
          </w:p>
        </w:tc>
        <w:tc>
          <w:tcPr>
            <w:tcW w:type="dxa" w:w="4933"/>
            <w:shd w:fill="F3F6F8"/>
            <w:tcBorders>
              <w:top w:val="single" w:sz="6" w:color="F3F6F8"/>
              <w:left w:val="single" w:sz="6" w:color="F3F6F8"/>
              <w:bottom w:val="single" w:sz="6" w:color="F3F6F8"/>
              <w:right w:val="single" w:sz="6" w:color="F3F6F8"/>
              <w:insideH w:val="single" w:sz="6" w:color="F3F6F8"/>
              <w:insideV w:val="single" w:sz="6" w:color="F3F6F8"/>
            </w:tcBorders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9"/>
              </w:rPr>
              <w:t>Confirmar a quantidade: deve ser o número de noites, limitada a 7.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8617"/>
      </w:tblGrid>
      <w:tr>
        <w:tc>
          <w:tcPr>
            <w:tcW w:type="dxa" w:w="4933"/>
            <w:shd w:fill="E5163E"/>
            <w:tcBorders>
              <w:top w:val="single" w:sz="6" w:color="E5163E"/>
              <w:left w:val="single" w:sz="6" w:color="E5163E"/>
              <w:bottom w:val="single" w:sz="6" w:color="E5163E"/>
              <w:right w:val="single" w:sz="6" w:color="E5163E"/>
              <w:insideH w:val="single" w:sz="6" w:color="E5163E"/>
              <w:insideV w:val="single" w:sz="6" w:color="E5163E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22"/>
              </w:rPr>
              <w:t>5</w:t>
            </w:r>
          </w:p>
        </w:tc>
        <w:tc>
          <w:tcPr>
            <w:tcW w:type="dxa" w:w="4933"/>
            <w:shd w:fill="F3F6F8"/>
            <w:tcBorders>
              <w:top w:val="single" w:sz="6" w:color="F3F6F8"/>
              <w:left w:val="single" w:sz="6" w:color="F3F6F8"/>
              <w:bottom w:val="single" w:sz="6" w:color="F3F6F8"/>
              <w:right w:val="single" w:sz="6" w:color="F3F6F8"/>
              <w:insideH w:val="single" w:sz="6" w:color="F3F6F8"/>
              <w:insideV w:val="single" w:sz="6" w:color="F3F6F8"/>
            </w:tcBorders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9"/>
              </w:rPr>
              <w:t>Confirmar o preço unitário: 5% do PVP da diária.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8617"/>
      </w:tblGrid>
      <w:tr>
        <w:tc>
          <w:tcPr>
            <w:tcW w:type="dxa" w:w="4933"/>
            <w:shd w:fill="E5163E"/>
            <w:tcBorders>
              <w:top w:val="single" w:sz="6" w:color="E5163E"/>
              <w:left w:val="single" w:sz="6" w:color="E5163E"/>
              <w:bottom w:val="single" w:sz="6" w:color="E5163E"/>
              <w:right w:val="single" w:sz="6" w:color="E5163E"/>
              <w:insideH w:val="single" w:sz="6" w:color="E5163E"/>
              <w:insideV w:val="single" w:sz="6" w:color="E5163E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22"/>
              </w:rPr>
              <w:t>6</w:t>
            </w:r>
          </w:p>
        </w:tc>
        <w:tc>
          <w:tcPr>
            <w:tcW w:type="dxa" w:w="4933"/>
            <w:shd w:fill="F3F6F8"/>
            <w:tcBorders>
              <w:top w:val="single" w:sz="6" w:color="F3F6F8"/>
              <w:left w:val="single" w:sz="6" w:color="F3F6F8"/>
              <w:bottom w:val="single" w:sz="6" w:color="F3F6F8"/>
              <w:right w:val="single" w:sz="6" w:color="F3F6F8"/>
              <w:insideH w:val="single" w:sz="6" w:color="F3F6F8"/>
              <w:insideV w:val="single" w:sz="6" w:color="F3F6F8"/>
            </w:tcBorders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9"/>
              </w:rPr>
              <w:t>Confirmar o total e gravar.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8617"/>
      </w:tblGrid>
      <w:tr>
        <w:tc>
          <w:tcPr>
            <w:tcW w:type="dxa" w:w="4933"/>
            <w:shd w:fill="E5163E"/>
            <w:tcBorders>
              <w:top w:val="single" w:sz="6" w:color="E5163E"/>
              <w:left w:val="single" w:sz="6" w:color="E5163E"/>
              <w:bottom w:val="single" w:sz="6" w:color="E5163E"/>
              <w:right w:val="single" w:sz="6" w:color="E5163E"/>
              <w:insideH w:val="single" w:sz="6" w:color="E5163E"/>
              <w:insideV w:val="single" w:sz="6" w:color="E5163E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22"/>
              </w:rPr>
              <w:t>7</w:t>
            </w:r>
          </w:p>
        </w:tc>
        <w:tc>
          <w:tcPr>
            <w:tcW w:type="dxa" w:w="4933"/>
            <w:shd w:fill="F3F6F8"/>
            <w:tcBorders>
              <w:top w:val="single" w:sz="6" w:color="F3F6F8"/>
              <w:left w:val="single" w:sz="6" w:color="F3F6F8"/>
              <w:bottom w:val="single" w:sz="6" w:color="F3F6F8"/>
              <w:right w:val="single" w:sz="6" w:color="F3F6F8"/>
              <w:insideH w:val="single" w:sz="6" w:color="F3F6F8"/>
              <w:insideV w:val="single" w:sz="6" w:color="F3F6F8"/>
            </w:tcBorders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9"/>
              </w:rPr>
              <w:t>Evitar duplicar a linha TT no mesmo quarto e período.</w:t>
            </w:r>
          </w:p>
        </w:tc>
      </w:tr>
    </w:tbl>
    <w:p>
      <w:pPr>
        <w:spacing w:after="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calculo_t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color w:val="5F6B73"/>
          <w:sz w:val="17"/>
        </w:rPr>
        <w:t>Figura 5 — O limite mantém a cobrança em sete noites mesmo em estadias maiores.</w:t>
      </w:r>
    </w:p>
    <w:p>
      <w:pPr>
        <w:pStyle w:val="Heading1"/>
      </w:pPr>
      <w:r>
        <w:t>5. Conferir a emissão</w:t>
      </w:r>
    </w:p>
    <w:p>
      <w:r>
        <w:t>Antes de concluir a conta, verificar a prévia do documento.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validacao_documento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color w:val="5F6B73"/>
          <w:sz w:val="17"/>
        </w:rPr>
        <w:t>Figura 6 — A contribuição deve aparecer como linha distinta no documento.</w:t>
      </w:r>
    </w:p>
    <w:p>
      <w:pPr>
        <w:pStyle w:val="ListBullet"/>
        <w:spacing w:after="60"/>
      </w:pPr>
      <w:r>
        <w:t>Alojamento e TT devem surgir em linhas separadas.</w:t>
      </w:r>
    </w:p>
    <w:p>
      <w:pPr>
        <w:pStyle w:val="ListBullet"/>
        <w:spacing w:after="60"/>
      </w:pPr>
      <w:r>
        <w:t>A quantidade TT nunca pode exceder 7.</w:t>
      </w:r>
    </w:p>
    <w:p>
      <w:pPr>
        <w:pStyle w:val="ListBullet"/>
        <w:spacing w:after="60"/>
      </w:pPr>
      <w:r>
        <w:t>O preço unitário TT deve corresponder a 5% da diária.</w:t>
      </w:r>
    </w:p>
    <w:p>
      <w:pPr>
        <w:pStyle w:val="ListBullet"/>
        <w:spacing w:after="60"/>
      </w:pPr>
      <w:r>
        <w:t>A regra IVA deve vir do artigo TT.</w:t>
      </w:r>
    </w:p>
    <w:p>
      <w:pPr>
        <w:pStyle w:val="ListBullet"/>
        <w:spacing w:after="60"/>
      </w:pPr>
      <w:r>
        <w:t>Em anulação ou nota de crédito, conferir também a regularização da TT.</w:t>
      </w:r>
    </w:p>
    <w:p>
      <w:pPr>
        <w:pStyle w:val="Heading1"/>
      </w:pPr>
      <w:r>
        <w:t>6. Exemplos rápidos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871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Diária</w:t>
            </w:r>
          </w:p>
        </w:tc>
        <w:tc>
          <w:tcPr>
            <w:tcW w:type="dxa" w:w="1247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Noites</w:t>
            </w:r>
          </w:p>
        </w:tc>
        <w:tc>
          <w:tcPr>
            <w:tcW w:type="dxa" w:w="1814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Noites cobradas</w:t>
            </w:r>
          </w:p>
        </w:tc>
        <w:tc>
          <w:tcPr>
            <w:tcW w:type="dxa" w:w="1814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TT unitária</w:t>
            </w:r>
          </w:p>
        </w:tc>
        <w:tc>
          <w:tcPr>
            <w:tcW w:type="dxa" w:w="1814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TT total</w:t>
            </w:r>
          </w:p>
        </w:tc>
      </w:tr>
      <w:tr>
        <w:tc>
          <w:tcPr>
            <w:tcW w:type="dxa" w:w="187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100 000</w:t>
            </w:r>
          </w:p>
        </w:tc>
        <w:tc>
          <w:tcPr>
            <w:tcW w:type="dxa" w:w="1247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1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1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5 000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5 000 AKZ</w:t>
            </w:r>
          </w:p>
        </w:tc>
      </w:tr>
      <w:tr>
        <w:tc>
          <w:tcPr>
            <w:tcW w:type="dxa" w:w="1871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100 000</w:t>
            </w:r>
          </w:p>
        </w:tc>
        <w:tc>
          <w:tcPr>
            <w:tcW w:type="dxa" w:w="1247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3</w:t>
            </w:r>
          </w:p>
        </w:tc>
        <w:tc>
          <w:tcPr>
            <w:tcW w:type="dxa" w:w="1814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3</w:t>
            </w:r>
          </w:p>
        </w:tc>
        <w:tc>
          <w:tcPr>
            <w:tcW w:type="dxa" w:w="1814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5 000</w:t>
            </w:r>
          </w:p>
        </w:tc>
        <w:tc>
          <w:tcPr>
            <w:tcW w:type="dxa" w:w="1814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15 000 AKZ</w:t>
            </w:r>
          </w:p>
        </w:tc>
      </w:tr>
      <w:tr>
        <w:tc>
          <w:tcPr>
            <w:tcW w:type="dxa" w:w="187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100 000</w:t>
            </w:r>
          </w:p>
        </w:tc>
        <w:tc>
          <w:tcPr>
            <w:tcW w:type="dxa" w:w="1247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7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7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5 000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35 000 AKZ</w:t>
            </w:r>
          </w:p>
        </w:tc>
      </w:tr>
      <w:tr>
        <w:tc>
          <w:tcPr>
            <w:tcW w:type="dxa" w:w="1871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100 000</w:t>
            </w:r>
          </w:p>
        </w:tc>
        <w:tc>
          <w:tcPr>
            <w:tcW w:type="dxa" w:w="1247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10</w:t>
            </w:r>
          </w:p>
        </w:tc>
        <w:tc>
          <w:tcPr>
            <w:tcW w:type="dxa" w:w="1814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7</w:t>
            </w:r>
          </w:p>
        </w:tc>
        <w:tc>
          <w:tcPr>
            <w:tcW w:type="dxa" w:w="1814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5 000</w:t>
            </w:r>
          </w:p>
        </w:tc>
        <w:tc>
          <w:tcPr>
            <w:tcW w:type="dxa" w:w="1814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35 000 AKZ</w:t>
            </w:r>
          </w:p>
        </w:tc>
      </w:tr>
      <w:tr>
        <w:tc>
          <w:tcPr>
            <w:tcW w:type="dxa" w:w="187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75 500</w:t>
            </w:r>
          </w:p>
        </w:tc>
        <w:tc>
          <w:tcPr>
            <w:tcW w:type="dxa" w:w="1247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2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2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3 775</w:t>
            </w:r>
          </w:p>
        </w:tc>
        <w:tc>
          <w:tcPr>
            <w:tcW w:type="dxa" w:w="1814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7 550 AKZ</w:t>
            </w:r>
          </w:p>
        </w:tc>
      </w:tr>
    </w:tbl>
    <w:p>
      <w:pPr>
        <w:spacing w:after="0"/>
      </w:pPr>
    </w:p>
    <w:p>
      <w:pPr>
        <w:pStyle w:val="Heading1"/>
      </w:pPr>
      <w:r>
        <w:t>7. Controlo mensal</w:t>
      </w:r>
    </w:p>
    <w:p>
      <w:pPr>
        <w:pStyle w:val="ListBullet"/>
        <w:spacing w:after="60"/>
      </w:pPr>
      <w:r>
        <w:t>Guardar faturas, recibos, notas de crédito e mapa mensal de cobrança de forma auditável.</w:t>
      </w:r>
    </w:p>
    <w:p>
      <w:pPr>
        <w:pStyle w:val="ListBullet"/>
        <w:spacing w:after="60"/>
      </w:pPr>
      <w:r>
        <w:t>Conciliar o total do artigo TT com os documentos emitidos e regularizados.</w:t>
      </w:r>
    </w:p>
    <w:p>
      <w:pPr>
        <w:pStyle w:val="ListBullet"/>
        <w:spacing w:after="60"/>
      </w:pPr>
      <w:r>
        <w:t>Preparar a entrega até ao último dia útil do mês seguinte à cobrança.</w:t>
      </w:r>
    </w:p>
    <w:p>
      <w:pPr>
        <w:pStyle w:val="ListBullet"/>
        <w:spacing w:after="60"/>
      </w:pPr>
      <w:r>
        <w:t>A receita é entregue ao Estado através de RUPE, segundo o procedimento aplicável ao cliente.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9"/>
      </w:tblGrid>
      <w:tr>
        <w:tc>
          <w:tcPr>
            <w:tcW w:type="dxa" w:w="9866"/>
            <w:shd w:fill="F3F6F8"/>
            <w:tcBorders>
              <w:top w:val="single" w:sz="14" w:color="0D1822"/>
              <w:left w:val="single" w:sz="14" w:color="0D1822"/>
              <w:bottom w:val="single" w:sz="14" w:color="0D1822"/>
              <w:right w:val="single" w:sz="14" w:color="0D1822"/>
              <w:insideH w:val="single" w:sz="14" w:color="0D1822"/>
              <w:insideV w:val="single" w:sz="14" w:color="0D1822"/>
            </w:tcBorders>
          </w:tcPr>
          <w:p>
            <w:pPr>
              <w:spacing w:after="60"/>
            </w:pPr>
            <w:r/>
            <w:r>
              <w:rPr>
                <w:b/>
                <w:color w:val="0D1822"/>
                <w:sz w:val="20"/>
              </w:rPr>
              <w:t>Boa prática</w:t>
            </w:r>
          </w:p>
          <w:p>
            <w:pPr>
              <w:spacing w:after="40"/>
            </w:pPr>
            <w:r>
              <w:rPr>
                <w:sz w:val="18"/>
              </w:rPr>
              <w:t>Criar uma conferência mensal por artigo TT e por documento. Qualquer diferença deve ser resolvida antes da entrega ao Estado.</w:t>
            </w:r>
          </w:p>
        </w:tc>
      </w:tr>
    </w:tbl>
    <w:p>
      <w:pPr>
        <w:spacing w:after="0"/>
      </w:pPr>
    </w:p>
    <w:p>
      <w:pPr>
        <w:pStyle w:val="Heading1"/>
      </w:pPr>
      <w:r>
        <w:t>8. Resolução de problemas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402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Sintoma</w:t>
            </w:r>
          </w:p>
        </w:tc>
        <w:tc>
          <w:tcPr>
            <w:tcW w:type="dxa" w:w="5669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Verificar</w:t>
            </w:r>
          </w:p>
        </w:tc>
      </w:tr>
      <w:tr>
        <w:tc>
          <w:tcPr>
            <w:tcW w:type="dxa" w:w="340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 não aparece na lista</w:t>
            </w:r>
          </w:p>
        </w:tc>
        <w:tc>
          <w:tcPr>
            <w:tcW w:type="dxa" w:w="56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Artigo TT ativo; tipo de despesa com origem Artigo e rubrica TT.</w:t>
            </w:r>
          </w:p>
        </w:tc>
      </w:tr>
      <w:tr>
        <w:tc>
          <w:tcPr>
            <w:tcW w:type="dxa" w:w="3402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Valor fica zero</w:t>
            </w:r>
          </w:p>
        </w:tc>
        <w:tc>
          <w:tcPr>
            <w:tcW w:type="dxa" w:w="56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PVP da reserva; unidade %; valor 5 no tipo de despesa.</w:t>
            </w:r>
          </w:p>
        </w:tc>
      </w:tr>
      <w:tr>
        <w:tc>
          <w:tcPr>
            <w:tcW w:type="dxa" w:w="340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Quantidade fica zero</w:t>
            </w:r>
          </w:p>
        </w:tc>
        <w:tc>
          <w:tcPr>
            <w:tcW w:type="dxa" w:w="56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Datas de check-in/check-out; estadia com pelo menos uma noite; máximo não configurado indevidamente.</w:t>
            </w:r>
          </w:p>
        </w:tc>
      </w:tr>
      <w:tr>
        <w:tc>
          <w:tcPr>
            <w:tcW w:type="dxa" w:w="3402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Quantidade excede 7</w:t>
            </w:r>
          </w:p>
        </w:tc>
        <w:tc>
          <w:tcPr>
            <w:tcW w:type="dxa" w:w="56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Confirmar que está no ERP 8.2026.0298 e que Limitar está marcado.</w:t>
            </w:r>
          </w:p>
        </w:tc>
      </w:tr>
      <w:tr>
        <w:tc>
          <w:tcPr>
            <w:tcW w:type="dxa" w:w="340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IVA incorreto</w:t>
            </w:r>
          </w:p>
        </w:tc>
        <w:tc>
          <w:tcPr>
            <w:tcW w:type="dxa" w:w="56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Tipo do artigo TT e regra NS/OUT; atualizar para 8.2026.0298.</w:t>
            </w:r>
          </w:p>
        </w:tc>
      </w:tr>
      <w:tr>
        <w:tc>
          <w:tcPr>
            <w:tcW w:type="dxa" w:w="3402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Linha duplicada</w:t>
            </w:r>
          </w:p>
        </w:tc>
        <w:tc>
          <w:tcPr>
            <w:tcW w:type="dxa" w:w="56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Manter apenas uma linha TT por quarto/período e recalcular o total.</w:t>
            </w:r>
          </w:p>
        </w:tc>
      </w:tr>
      <w:tr>
        <w:tc>
          <w:tcPr>
            <w:tcW w:type="dxa" w:w="340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SAF-T rejeita artigo</w:t>
            </w:r>
          </w:p>
        </w:tc>
        <w:tc>
          <w:tcPr>
            <w:tcW w:type="dxa" w:w="56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Confirmar ProductType, regra IVA e dados mestres antes de exportar novamente.</w:t>
            </w:r>
          </w:p>
        </w:tc>
      </w:tr>
    </w:tbl>
    <w:p>
      <w:pPr>
        <w:spacing w:after="0"/>
      </w:pPr>
    </w:p>
    <w:p>
      <w:pPr>
        <w:pStyle w:val="Heading1"/>
      </w:pPr>
      <w:r>
        <w:t>9. Checklist de implementação</w:t>
      </w:r>
    </w:p>
    <w:p>
      <w:pPr>
        <w:spacing w:after="80"/>
      </w:pPr>
      <w:r>
        <w:rPr>
          <w:color w:val="E5163E"/>
          <w:sz w:val="24"/>
        </w:rPr>
        <w:t xml:space="preserve">☐  </w:t>
      </w:r>
      <w:r>
        <w:t>Cópia de segurança concluída</w:t>
      </w:r>
    </w:p>
    <w:p>
      <w:pPr>
        <w:spacing w:after="80"/>
      </w:pPr>
      <w:r>
        <w:rPr>
          <w:color w:val="E5163E"/>
          <w:sz w:val="24"/>
        </w:rPr>
        <w:t xml:space="preserve">☐  </w:t>
      </w:r>
      <w:r>
        <w:t>ERP atualizado para 8.2026.0298</w:t>
      </w:r>
    </w:p>
    <w:p>
      <w:pPr>
        <w:spacing w:after="80"/>
      </w:pPr>
      <w:r>
        <w:rPr>
          <w:color w:val="E5163E"/>
          <w:sz w:val="24"/>
        </w:rPr>
        <w:t xml:space="preserve">☐  </w:t>
      </w:r>
      <w:r>
        <w:t>Artigo TT confirmado</w:t>
      </w:r>
    </w:p>
    <w:p>
      <w:pPr>
        <w:spacing w:after="80"/>
      </w:pPr>
      <w:r>
        <w:rPr>
          <w:color w:val="E5163E"/>
          <w:sz w:val="24"/>
        </w:rPr>
        <w:t xml:space="preserve">☐  </w:t>
      </w:r>
      <w:r>
        <w:t>Tipo de despesa TT confirmado</w:t>
      </w:r>
    </w:p>
    <w:p>
      <w:pPr>
        <w:spacing w:after="80"/>
      </w:pPr>
      <w:r>
        <w:rPr>
          <w:color w:val="E5163E"/>
          <w:sz w:val="24"/>
        </w:rPr>
        <w:t xml:space="preserve">☐  </w:t>
      </w:r>
      <w:r>
        <w:t>Teste de 1, 7 e 10 noites concluído</w:t>
      </w:r>
    </w:p>
    <w:p>
      <w:pPr>
        <w:spacing w:after="80"/>
      </w:pPr>
      <w:r>
        <w:rPr>
          <w:color w:val="E5163E"/>
          <w:sz w:val="24"/>
        </w:rPr>
        <w:t xml:space="preserve">☐  </w:t>
      </w:r>
      <w:r>
        <w:t>Documento mostra TT em linha separada</w:t>
      </w:r>
    </w:p>
    <w:p>
      <w:pPr>
        <w:spacing w:after="80"/>
      </w:pPr>
      <w:r>
        <w:rPr>
          <w:color w:val="E5163E"/>
          <w:sz w:val="24"/>
        </w:rPr>
        <w:t xml:space="preserve">☐  </w:t>
      </w:r>
      <w:r>
        <w:t>Anulação/nota de crédito testada</w:t>
      </w:r>
    </w:p>
    <w:p>
      <w:pPr>
        <w:spacing w:after="80"/>
      </w:pPr>
      <w:r>
        <w:rPr>
          <w:color w:val="E5163E"/>
          <w:sz w:val="24"/>
        </w:rPr>
        <w:t xml:space="preserve">☐  </w:t>
      </w:r>
      <w:r>
        <w:t>SAF-T de teste gerado</w:t>
      </w:r>
    </w:p>
    <w:p>
      <w:pPr>
        <w:spacing w:after="80"/>
      </w:pPr>
      <w:r>
        <w:rPr>
          <w:color w:val="E5163E"/>
          <w:sz w:val="24"/>
        </w:rPr>
        <w:t xml:space="preserve">☐  </w:t>
      </w:r>
      <w:r>
        <w:t>Equipa de receção orientada sobre elegibilidade</w:t>
      </w:r>
    </w:p>
    <w:p>
      <w:pPr>
        <w:spacing w:after="80"/>
      </w:pPr>
      <w:r>
        <w:rPr>
          <w:color w:val="E5163E"/>
          <w:sz w:val="24"/>
        </w:rPr>
        <w:t xml:space="preserve">☐  </w:t>
      </w:r>
      <w:r>
        <w:t>Rotina mensal de conferência definida</w:t>
      </w:r>
    </w:p>
    <w:p>
      <w:pPr>
        <w:pStyle w:val="Heading1"/>
      </w:pPr>
      <w:r>
        <w:t>Referência</w:t>
      </w:r>
    </w:p>
    <w:p>
      <w:r>
        <w:t>Decreto Legislativo Presidencial n.º 4/26, de 30 de abril — Regime Jurídico da Contribuição Especial para o Turismo.</w:t>
      </w:r>
    </w:p>
    <w:p>
      <w:r>
        <w:t>https://lex.ao/docs/presidente-da-republica/2026/decreto-legislativo-presidencial-n-o-4-26-de-30-de-abril/</w:t>
      </w:r>
    </w:p>
    <w:p>
      <w:r>
        <w:t>Este manual descreve a implementação técnica do Cacimbo ERP e não substitui orientação fiscal ou jurídica específica do cliente.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5F6B73"/>
        <w:sz w:val="16"/>
      </w:rPr>
      <w:t>Cacimbo Angola, Lda.  •  Versão 8.2026.0298  •  Uso controlado</w:t>
    </w:r>
    <w:r>
      <w:t xml:space="preserve">    </w:t>
    </w:r>
    <w: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5F6B73"/>
        <w:sz w:val="16"/>
      </w:rPr>
      <w:t>CACIMBO ERP  |  Manual de implementação — Taxa de Turismo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1A23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1822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B90E3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6263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D1822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implementação — Taxa de Turismo</dc:title>
  <dc:subject>Taxa de Turismo em Angola no Cacimbo ERP</dc:subject>
  <dc:creator>Cacimbo Angola, Lda.</dc:creator>
  <cp:keywords>Cacimbo ERP, Hotelaria, Taxa de Turismo, Angola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