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60" w:line="269" w:lineRule="auto"/>
      </w:pPr>
      <w:r>
        <w:rPr>
          <w:rFonts w:ascii="Aptos Display" w:hAnsi="Aptos Display"/>
          <w:b/>
          <w:color w:val="000000"/>
          <w:sz w:val="50"/>
        </w:rPr>
        <w:t>Permissões Windows para o POS Gourmet</w:t>
      </w:r>
    </w:p>
    <w:p>
      <w:pPr>
        <w:spacing w:before="0" w:after="360" w:line="269" w:lineRule="auto"/>
      </w:pPr>
      <w:r>
        <w:rPr>
          <w:rFonts w:ascii="Aptos" w:hAnsi="Aptos"/>
          <w:b w:val="0"/>
          <w:color w:val="000000"/>
          <w:sz w:val="28"/>
        </w:rPr>
        <w:t>Manual rápido para técnicos júnior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Este manual explica quais permissões atribuir no Windows Server para o POS Gourmet, para o sincronizador e para as bases Microsoft Access. O objectivo é permitir a operação normal sem dar direitos de Administrador aos operadores.</w:t>
      </w:r>
    </w:p>
    <w:p>
      <w:pPr>
        <w:spacing w:before="0" w:after="120" w:line="269" w:lineRule="auto"/>
      </w:pPr>
      <w:r>
        <w:rPr>
          <w:rFonts w:ascii="Aptos" w:hAnsi="Aptos"/>
          <w:b/>
          <w:color w:val="000000"/>
          <w:sz w:val="21"/>
        </w:rPr>
        <w:t xml:space="preserve">Regra principal: </w:t>
      </w:r>
      <w:r>
        <w:rPr>
          <w:rFonts w:ascii="Aptos" w:hAnsi="Aptos"/>
          <w:b w:val="0"/>
          <w:color w:val="000000"/>
          <w:sz w:val="21"/>
        </w:rPr>
        <w:t>atribuir permissões à conta correcta e à pasta correcta. Não usar Controlo total para Everyone.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89"/>
        <w:gridCol w:w="3389"/>
        <w:gridCol w:w="3389"/>
      </w:tblGrid>
      <w:tr>
        <w:trPr>
          <w:tblHeader/>
        </w:trPr>
        <w:tc>
          <w:tcPr>
            <w:tcW w:type="dxa" w:w="1800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Quem</w:t>
            </w:r>
          </w:p>
        </w:tc>
        <w:tc>
          <w:tcPr>
            <w:tcW w:type="dxa" w:w="4680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Precisa de acesso a</w:t>
            </w:r>
          </w:p>
        </w:tc>
        <w:tc>
          <w:tcPr>
            <w:tcW w:type="dxa" w:w="3456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Permissão</w:t>
            </w:r>
          </w:p>
        </w:tc>
      </w:tr>
      <w:tr>
        <w:tc>
          <w:tcPr>
            <w:tcW w:type="dxa" w:w="180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Operador POS</w:t>
            </w:r>
          </w:p>
        </w:tc>
        <w:tc>
          <w:tcPr>
            <w:tcW w:type="dxa" w:w="46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Bases ERP/KDS</w:t>
            </w:r>
          </w:p>
        </w:tc>
        <w:tc>
          <w:tcPr>
            <w:tcW w:type="dxa" w:w="3456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Modificar</w:t>
            </w:r>
          </w:p>
        </w:tc>
      </w:tr>
      <w:tr>
        <w:tc>
          <w:tcPr>
            <w:tcW w:type="dxa" w:w="180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Serviço Sync</w:t>
            </w:r>
          </w:p>
        </w:tc>
        <w:tc>
          <w:tcPr>
            <w:tcW w:type="dxa" w:w="468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Bases ERP/KDS</w:t>
            </w:r>
          </w:p>
        </w:tc>
        <w:tc>
          <w:tcPr>
            <w:tcW w:type="dxa" w:w="3456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Modificar</w:t>
            </w:r>
          </w:p>
        </w:tc>
      </w:tr>
      <w:tr>
        <w:tc>
          <w:tcPr>
            <w:tcW w:type="dxa" w:w="180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Operador POS</w:t>
            </w:r>
          </w:p>
        </w:tc>
        <w:tc>
          <w:tcPr>
            <w:tcW w:type="dxa" w:w="46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%LOCALAPPDATA%\Cacimbo</w:t>
            </w:r>
          </w:p>
        </w:tc>
        <w:tc>
          <w:tcPr>
            <w:tcW w:type="dxa" w:w="3456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Modificar</w:t>
            </w:r>
          </w:p>
        </w:tc>
      </w:tr>
      <w:tr>
        <w:tc>
          <w:tcPr>
            <w:tcW w:type="dxa" w:w="180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Serviço Sync</w:t>
            </w:r>
          </w:p>
        </w:tc>
        <w:tc>
          <w:tcPr>
            <w:tcW w:type="dxa" w:w="468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C:\ProgramData\Cacimbo\Sync</w:t>
            </w:r>
          </w:p>
        </w:tc>
        <w:tc>
          <w:tcPr>
            <w:tcW w:type="dxa" w:w="3456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Modificar</w:t>
            </w:r>
          </w:p>
        </w:tc>
      </w:tr>
      <w:tr>
        <w:tc>
          <w:tcPr>
            <w:tcW w:type="dxa" w:w="180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POS e Sync</w:t>
            </w:r>
          </w:p>
        </w:tc>
        <w:tc>
          <w:tcPr>
            <w:tcW w:type="dxa" w:w="46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Pasta de instalação</w:t>
            </w:r>
          </w:p>
        </w:tc>
        <w:tc>
          <w:tcPr>
            <w:tcW w:type="dxa" w:w="3456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Ler e executar</w:t>
            </w:r>
          </w:p>
        </w:tc>
      </w:tr>
    </w:tbl>
    <w:p>
      <w:pPr>
        <w:spacing w:before="0" w:after="20" w:line="269" w:lineRule="auto"/>
      </w:pPr>
    </w:p>
    <w:p>
      <w:r>
        <w:br w:type="page"/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1 Antes de atribuir permissões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1.  </w:t>
      </w:r>
      <w:r>
        <w:rPr>
          <w:rFonts w:ascii="Aptos" w:hAnsi="Aptos"/>
          <w:b w:val="0"/>
          <w:color w:val="000000"/>
          <w:sz w:val="21"/>
        </w:rPr>
        <w:t>Confirmar o nome do servidor e o caminho exacto das bases ERP e KDS.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2.  </w:t>
      </w:r>
      <w:r>
        <w:rPr>
          <w:rFonts w:ascii="Aptos" w:hAnsi="Aptos"/>
          <w:b w:val="0"/>
          <w:color w:val="000000"/>
          <w:sz w:val="21"/>
        </w:rPr>
        <w:t>Confirmar o utilizador Windows que abre o POS.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3.  </w:t>
      </w:r>
      <w:r>
        <w:rPr>
          <w:rFonts w:ascii="Aptos" w:hAnsi="Aptos"/>
          <w:b w:val="0"/>
          <w:color w:val="000000"/>
          <w:sz w:val="21"/>
        </w:rPr>
        <w:t>Confirmar a conta usada pelo serviço Sync.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4.  </w:t>
      </w:r>
      <w:r>
        <w:rPr>
          <w:rFonts w:ascii="Aptos" w:hAnsi="Aptos"/>
          <w:b w:val="0"/>
          <w:color w:val="000000"/>
          <w:sz w:val="21"/>
        </w:rPr>
        <w:t>Fechar temporariamente o POS, o ERP e o Access, quando o responsável autorizar.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No servidor, abrir PowerShell como Administrador e executar:</w:t>
      </w:r>
    </w:p>
    <w:p>
      <w:pPr>
        <w:spacing w:before="60" w:after="160" w:line="240" w:lineRule="auto"/>
        <w:ind w:left="259" w:right="259"/>
        <w:shd w:fill="F1F3F5"/>
      </w:pPr>
      <w:r>
        <w:rPr>
          <w:rFonts w:ascii="Cascadia Mono" w:hAnsi="Cascadia Mono"/>
          <w:b w:val="0"/>
          <w:color w:val="202124"/>
          <w:sz w:val="16"/>
        </w:rPr>
        <w:t>whoami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>hostname</w:t>
      </w:r>
      <w:r>
        <w:br/>
      </w:r>
      <w:r>
        <w:rPr>
          <w:rFonts w:ascii="Cascadia Mono" w:hAnsi="Cascadia Mono"/>
          <w:b w:val="0"/>
          <w:color w:val="202124"/>
          <w:sz w:val="16"/>
        </w:rPr>
      </w:r>
      <w:r>
        <w:br/>
      </w:r>
      <w:r>
        <w:rPr>
          <w:rFonts w:ascii="Cascadia Mono" w:hAnsi="Cascadia Mono"/>
          <w:b w:val="0"/>
          <w:color w:val="202124"/>
          <w:sz w:val="16"/>
        </w:rPr>
        <w:t>Get-CimInstance Win32_Service |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 xml:space="preserve">  Where-Object { $_.Name -like '*Sync*' -or $_.DisplayName -like '*Sync*' } |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 xml:space="preserve">  Select-Object Name, DisplayName, State, StartName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Guardar o valor StartName. É essa conta, e não necessariamente o operador do POS, que precisa de acesso à base quando o Sync corre como serviço.</w:t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2 Permissões necessárias nas pastas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89"/>
        <w:gridCol w:w="3389"/>
        <w:gridCol w:w="3389"/>
      </w:tblGrid>
      <w:tr>
        <w:trPr>
          <w:tblHeader/>
        </w:trPr>
        <w:tc>
          <w:tcPr>
            <w:tcW w:type="dxa" w:w="3888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Pasta</w:t>
            </w:r>
          </w:p>
        </w:tc>
        <w:tc>
          <w:tcPr>
            <w:tcW w:type="dxa" w:w="2880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Conta</w:t>
            </w:r>
          </w:p>
        </w:tc>
        <w:tc>
          <w:tcPr>
            <w:tcW w:type="dxa" w:w="3168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Permissão mínima</w:t>
            </w:r>
          </w:p>
        </w:tc>
      </w:tr>
      <w:tr>
        <w:tc>
          <w:tcPr>
            <w:tcW w:type="dxa" w:w="388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Pasta dos ficheiros .MDB</w:t>
            </w:r>
          </w:p>
        </w:tc>
        <w:tc>
          <w:tcPr>
            <w:tcW w:type="dxa" w:w="28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Operador POS</w:t>
            </w:r>
          </w:p>
        </w:tc>
        <w:tc>
          <w:tcPr>
            <w:tcW w:type="dxa" w:w="316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Modificar</w:t>
            </w:r>
          </w:p>
        </w:tc>
      </w:tr>
      <w:tr>
        <w:tc>
          <w:tcPr>
            <w:tcW w:type="dxa" w:w="388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Pasta dos ficheiros .MDB</w:t>
            </w:r>
          </w:p>
        </w:tc>
        <w:tc>
          <w:tcPr>
            <w:tcW w:type="dxa" w:w="288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Conta do Sync</w:t>
            </w:r>
          </w:p>
        </w:tc>
        <w:tc>
          <w:tcPr>
            <w:tcW w:type="dxa" w:w="316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Modificar</w:t>
            </w:r>
          </w:p>
        </w:tc>
      </w:tr>
      <w:tr>
        <w:tc>
          <w:tcPr>
            <w:tcW w:type="dxa" w:w="388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C:\ProgramData\Cacimbo\Sync</w:t>
            </w:r>
          </w:p>
        </w:tc>
        <w:tc>
          <w:tcPr>
            <w:tcW w:type="dxa" w:w="28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Conta do Sync</w:t>
            </w:r>
          </w:p>
        </w:tc>
        <w:tc>
          <w:tcPr>
            <w:tcW w:type="dxa" w:w="316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Modificar</w:t>
            </w:r>
          </w:p>
        </w:tc>
      </w:tr>
      <w:tr>
        <w:tc>
          <w:tcPr>
            <w:tcW w:type="dxa" w:w="388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C:\ProgramData\Cacimbo\Sync</w:t>
            </w:r>
          </w:p>
        </w:tc>
        <w:tc>
          <w:tcPr>
            <w:tcW w:type="dxa" w:w="288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Operador POS</w:t>
            </w:r>
          </w:p>
        </w:tc>
        <w:tc>
          <w:tcPr>
            <w:tcW w:type="dxa" w:w="316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Ler e executar</w:t>
            </w:r>
          </w:p>
        </w:tc>
      </w:tr>
      <w:tr>
        <w:tc>
          <w:tcPr>
            <w:tcW w:type="dxa" w:w="388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C:\Users\&lt;utilizador&gt;\AppData\Local\Cacimbo</w:t>
            </w:r>
          </w:p>
        </w:tc>
        <w:tc>
          <w:tcPr>
            <w:tcW w:type="dxa" w:w="2880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Operador POS</w:t>
            </w:r>
          </w:p>
        </w:tc>
        <w:tc>
          <w:tcPr>
            <w:tcW w:type="dxa" w:w="316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Modificar</w:t>
            </w:r>
          </w:p>
        </w:tc>
      </w:tr>
      <w:tr>
        <w:tc>
          <w:tcPr>
            <w:tcW w:type="dxa" w:w="388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Pasta de instalação do POS/Sync</w:t>
            </w:r>
          </w:p>
        </w:tc>
        <w:tc>
          <w:tcPr>
            <w:tcW w:type="dxa" w:w="2880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POS e Sync</w:t>
            </w:r>
          </w:p>
        </w:tc>
        <w:tc>
          <w:tcPr>
            <w:tcW w:type="dxa" w:w="316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Ler e executar</w:t>
            </w:r>
          </w:p>
        </w:tc>
      </w:tr>
    </w:tbl>
    <w:p>
      <w:pPr>
        <w:spacing w:before="0" w:after="20" w:line="269" w:lineRule="auto"/>
      </w:pP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Na pasta dos MDB deve ser usada a permissão Modificar porque o Access pode criar ficheiros de bloqueio .ldb ou .laccdb. Não atribuir permissões apenas ao ficheiro MDB.</w:t>
      </w:r>
    </w:p>
    <w:p>
      <w:r>
        <w:br w:type="page"/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3 Atribuir permissões pela interface do Windows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Repetir os passos abaixo para a pasta que contém as bases ERP e KDS e, depois, para a pasta do Sync.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1.  </w:t>
      </w:r>
      <w:r>
        <w:rPr>
          <w:rFonts w:ascii="Aptos" w:hAnsi="Aptos"/>
          <w:b w:val="0"/>
          <w:color w:val="000000"/>
          <w:sz w:val="21"/>
        </w:rPr>
        <w:t>Abrir o Explorador e localizar a pasta, por exemplo D:\Cacimbo\DB.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2.  </w:t>
      </w:r>
      <w:r>
        <w:rPr>
          <w:rFonts w:ascii="Aptos" w:hAnsi="Aptos"/>
          <w:b w:val="0"/>
          <w:color w:val="000000"/>
          <w:sz w:val="21"/>
        </w:rPr>
        <w:t>Clicar com o botão direito na pasta e escolher Propriedades.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3.  </w:t>
      </w:r>
      <w:r>
        <w:rPr>
          <w:rFonts w:ascii="Aptos" w:hAnsi="Aptos"/>
          <w:b w:val="0"/>
          <w:color w:val="000000"/>
          <w:sz w:val="21"/>
        </w:rPr>
        <w:t>Abrir o separador Segurança e clicar em Editar.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4.  </w:t>
      </w:r>
      <w:r>
        <w:rPr>
          <w:rFonts w:ascii="Aptos" w:hAnsi="Aptos"/>
          <w:b w:val="0"/>
          <w:color w:val="000000"/>
          <w:sz w:val="21"/>
        </w:rPr>
        <w:t>Clicar em Adicionar, escrever o utilizador ou grupo e seleccionar Verificar nomes.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5.  </w:t>
      </w:r>
      <w:r>
        <w:rPr>
          <w:rFonts w:ascii="Aptos" w:hAnsi="Aptos"/>
          <w:b w:val="0"/>
          <w:color w:val="000000"/>
          <w:sz w:val="21"/>
        </w:rPr>
        <w:t>Seleccionar a conta correcta e marcar Modificar, Ler e executar, Listar conteúdo da pasta, Ler e Escrever.</w:t>
      </w:r>
    </w:p>
    <w:p>
      <w:pPr>
        <w:spacing w:before="0" w:after="60" w:line="269" w:lineRule="auto"/>
        <w:ind w:left="259" w:hanging="259"/>
      </w:pPr>
      <w:r>
        <w:rPr>
          <w:rFonts w:ascii="Aptos" w:hAnsi="Aptos"/>
          <w:b w:val="0"/>
          <w:color w:val="000000"/>
          <w:sz w:val="21"/>
        </w:rPr>
        <w:t xml:space="preserve">6.  </w:t>
      </w:r>
      <w:r>
        <w:rPr>
          <w:rFonts w:ascii="Aptos" w:hAnsi="Aptos"/>
          <w:b w:val="0"/>
          <w:color w:val="000000"/>
          <w:sz w:val="21"/>
        </w:rPr>
        <w:t>Clicar em Aplicar e confirmar a propagação para subpastas e ficheiros.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Para o serviço Sync, adicionar exactamente o valor StartName obtido no passo 1. Se for uma conta de domínio, usar DOMINIO\conta. Se for uma conta local, usar SERVIDOR\conta.</w:t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4 Quando a base está numa partilha de rede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Quando o caminho começa por \\, existem duas permissões a configurar: a permissão da partilha e a permissão Segurança NTFS.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rPr>
          <w:tblHeader/>
        </w:trPr>
        <w:tc>
          <w:tcPr>
            <w:tcW w:type="dxa" w:w="4608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Local</w:t>
            </w:r>
          </w:p>
        </w:tc>
        <w:tc>
          <w:tcPr>
            <w:tcW w:type="dxa" w:w="5328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>Permissão recomendada</w:t>
            </w:r>
          </w:p>
        </w:tc>
      </w:tr>
      <w:tr>
        <w:tc>
          <w:tcPr>
            <w:tcW w:type="dxa" w:w="460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Permissões da partilha</w:t>
            </w:r>
          </w:p>
        </w:tc>
        <w:tc>
          <w:tcPr>
            <w:tcW w:type="dxa" w:w="532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Alterar para o operador e para o Sync</w:t>
            </w:r>
          </w:p>
        </w:tc>
      </w:tr>
      <w:tr>
        <w:tc>
          <w:tcPr>
            <w:tcW w:type="dxa" w:w="460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Segurança NTFS</w:t>
            </w:r>
          </w:p>
        </w:tc>
        <w:tc>
          <w:tcPr>
            <w:tcW w:type="dxa" w:w="5328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Modificar para o operador e para o Sync</w:t>
            </w:r>
          </w:p>
        </w:tc>
      </w:tr>
      <w:tr>
        <w:tc>
          <w:tcPr>
            <w:tcW w:type="dxa" w:w="460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Outros utilizadores</w:t>
            </w:r>
          </w:p>
        </w:tc>
        <w:tc>
          <w:tcPr>
            <w:tcW w:type="dxa" w:w="5328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8"/>
              </w:rPr>
              <w:t>Sem acesso ou apenas Ler, conforme a necessidade</w:t>
            </w:r>
          </w:p>
        </w:tc>
      </w:tr>
    </w:tbl>
    <w:p>
      <w:pPr>
        <w:spacing w:before="0" w:after="20" w:line="269" w:lineRule="auto"/>
      </w:pP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No separador Partilha, abrir Partilha avançada, clicar em Permissões e atribuir Alterar. Depois repetir no separador Segurança com Modificar. A permissão efectiva é a mais restritiva dos dois separadores.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Não usar unidades mapeadas como Z:\ ou X:\ para o serviço. Um serviço Windows pode não ver o mapeamento do operador. Preferir um caminho local ou UNC, como \\SERVIDOR\Cacimbo\DB\cacimbodb.mdb.</w:t>
      </w:r>
    </w:p>
    <w:p>
      <w:r>
        <w:br w:type="page"/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5 Confirmar se as permissões ficaram correctas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Depois de atribuir permissões, testar primeiro a existência e o acesso à pasta. Substituir o caminho pelo caminho real do cliente.</w:t>
      </w:r>
    </w:p>
    <w:p>
      <w:pPr>
        <w:spacing w:before="60" w:after="160" w:line="240" w:lineRule="auto"/>
        <w:ind w:left="259" w:right="259"/>
        <w:shd w:fill="F1F3F5"/>
      </w:pPr>
      <w:r>
        <w:rPr>
          <w:rFonts w:ascii="Cascadia Mono" w:hAnsi="Cascadia Mono"/>
          <w:b w:val="0"/>
          <w:color w:val="202124"/>
          <w:sz w:val="16"/>
        </w:rPr>
        <w:t>$db = 'D:\Cacimbo\DB\cacimbodb.mdb'</w:t>
      </w:r>
      <w:r>
        <w:br/>
      </w:r>
      <w:r>
        <w:rPr>
          <w:rFonts w:ascii="Cascadia Mono" w:hAnsi="Cascadia Mono"/>
          <w:b w:val="0"/>
          <w:color w:val="202124"/>
          <w:sz w:val="16"/>
        </w:rPr>
      </w:r>
      <w:r>
        <w:br/>
      </w:r>
      <w:r>
        <w:rPr>
          <w:rFonts w:ascii="Cascadia Mono" w:hAnsi="Cascadia Mono"/>
          <w:b w:val="0"/>
          <w:color w:val="202124"/>
          <w:sz w:val="16"/>
        </w:rPr>
        <w:t>Test-Path -LiteralPath $db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>Get-Item -LiteralPath $db | Select-Object FullName, Length, Attributes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>Get-Acl -LiteralPath (Split-Path $db) | Select-Object -ExpandProperty Access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O resultado Test-Path deve ser True. A listagem de ACL deve mostrar a conta do operador e a conta do Sync com os direitos atribuídos.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Confirmar também o estado do serviço:</w:t>
      </w:r>
    </w:p>
    <w:p>
      <w:pPr>
        <w:spacing w:before="60" w:after="160" w:line="240" w:lineRule="auto"/>
        <w:ind w:left="259" w:right="259"/>
        <w:shd w:fill="F1F3F5"/>
      </w:pPr>
      <w:r>
        <w:rPr>
          <w:rFonts w:ascii="Cascadia Mono" w:hAnsi="Cascadia Mono"/>
          <w:b w:val="0"/>
          <w:color w:val="202124"/>
          <w:sz w:val="16"/>
        </w:rPr>
        <w:t>Get-Service -Name 'Cacimbo ERP WEB Sync E0' -ErrorAction SilentlyContinue |</w:t>
      </w:r>
      <w:r>
        <w:br/>
      </w:r>
      <w:r>
        <w:rPr>
          <w:rFonts w:ascii="Cascadia Mono" w:hAnsi="Cascadia Mono"/>
          <w:b w:val="0"/>
          <w:color w:val="202124"/>
          <w:sz w:val="16"/>
        </w:rPr>
        <w:t xml:space="preserve">  Select-Object Name, Status, StartType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Se a base estiver numa partilha, executar o teste usando a conta do serviço ou uma sessão equivalente. Testar apenas como Administrador pode dar um resultado diferente do serviço.</w:t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6 Cuidados e erros comuns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83"/>
        <w:gridCol w:w="5083"/>
      </w:tblGrid>
      <w:tr>
        <w:trPr>
          <w:tblHeader/>
        </w:trPr>
        <w:tc>
          <w:tcPr>
            <w:tcW w:type="dxa" w:w="3024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Situação</w:t>
            </w:r>
          </w:p>
        </w:tc>
        <w:tc>
          <w:tcPr>
            <w:tcW w:type="dxa" w:w="6912"/>
            <w:vAlign w:val="center"/>
            <w:shd w:fill="17365D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FFFFFF"/>
                <w:sz w:val="17"/>
              </w:rPr>
              <w:t>O que fazer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Acesso negado na base</w:t>
            </w:r>
          </w:p>
        </w:tc>
        <w:tc>
          <w:tcPr>
            <w:tcW w:type="dxa" w:w="6912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Verificar NTFS e partilha para a conta que executa o POS/Sync.</w:t>
            </w:r>
          </w:p>
        </w:tc>
      </w:tr>
      <w:tr>
        <w:tc>
          <w:tcPr>
            <w:tcW w:type="dxa" w:w="3024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Sync em estado Error</w:t>
            </w:r>
          </w:p>
        </w:tc>
        <w:tc>
          <w:tcPr>
            <w:tcW w:type="dxa" w:w="6912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Verificar o caminho Dbq no appsettings.json e a conta StartName.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Base em Z: ou X:</w:t>
            </w:r>
          </w:p>
        </w:tc>
        <w:tc>
          <w:tcPr>
            <w:tcW w:type="dxa" w:w="6912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Trocar para caminho local ou UNC acessível ao serviço.</w:t>
            </w:r>
          </w:p>
        </w:tc>
      </w:tr>
      <w:tr>
        <w:tc>
          <w:tcPr>
            <w:tcW w:type="dxa" w:w="3024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Ficheiro .ldb/.laccdb</w:t>
            </w:r>
          </w:p>
        </w:tc>
        <w:tc>
          <w:tcPr>
            <w:tcW w:type="dxa" w:w="6912"/>
            <w:vAlign w:val="center"/>
            <w:shd w:fill="F3F6F9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Fechar aplicações e investigar; não apagar manualmente.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POS instala mas não inicia</w:t>
            </w:r>
          </w:p>
        </w:tc>
        <w:tc>
          <w:tcPr>
            <w:tcW w:type="dxa" w:w="6912"/>
            <w:vAlign w:val="center"/>
            <w:shd w:fill="FFFFFF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color w:val="000000"/>
                <w:sz w:val="17"/>
              </w:rPr>
              <w:t>Não dar escrita em Program Files; verificar ProgramData e AppData.</w:t>
            </w:r>
          </w:p>
        </w:tc>
      </w:tr>
    </w:tbl>
    <w:p>
      <w:pPr>
        <w:spacing w:before="0" w:after="20" w:line="269" w:lineRule="auto"/>
      </w:pP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Não alterar permissões de registo, não mudar a conta do serviço e não reiniciar o Sync em produção sem autorização do responsável. Não executar icacls /grant de forma genérica.</w:t>
      </w:r>
    </w:p>
    <w:p>
      <w:pPr>
        <w:pStyle w:val="Heading1"/>
        <w:keepNext/>
        <w:spacing w:before="260" w:after="100" w:line="269" w:lineRule="auto"/>
      </w:pPr>
      <w:r>
        <w:rPr>
          <w:rFonts w:ascii="Aptos Display" w:hAnsi="Aptos Display"/>
          <w:b/>
          <w:color w:val="000000"/>
          <w:sz w:val="32"/>
        </w:rPr>
        <w:t>7 Checklist de entrega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Caminhos ERP e KDS confirmados.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Utilizador do POS confirmado.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Conta StartName do Sync confirmada.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Modificar atribuído à pasta das bases para as duas contas.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Modificar atribuído a C:\ProgramData\Cacimbo\Sync para a conta do Sync.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Modificar confirmado em AppData\Local\Cacimbo para o operador.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Partilha e NTFS configurados quando aplicável.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Test-Path devolveu True.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Serviço Sync iniciou sem estado Error.</w:t>
      </w:r>
    </w:p>
    <w:p>
      <w:pPr>
        <w:pStyle w:val="ListBullet"/>
        <w:spacing w:before="0" w:after="60" w:line="269" w:lineRule="auto"/>
      </w:pPr>
      <w:r>
        <w:rPr>
          <w:rFonts w:ascii="Aptos" w:hAnsi="Aptos"/>
          <w:b w:val="0"/>
          <w:color w:val="000000"/>
          <w:sz w:val="21"/>
        </w:rPr>
        <w:t>[ ] POS abriu e carregou a empresa correctamente.</w:t>
      </w:r>
    </w:p>
    <w:p>
      <w:pPr>
        <w:spacing w:before="0" w:after="120" w:line="269" w:lineRule="auto"/>
      </w:pPr>
      <w:r>
        <w:rPr>
          <w:rFonts w:ascii="Aptos" w:hAnsi="Aptos"/>
          <w:b w:val="0"/>
          <w:color w:val="000000"/>
          <w:sz w:val="21"/>
        </w:rPr>
        <w:t>Registar no relatório o servidor, as contas utilizadas, os caminhos das bases, as permissões atribuídas e o resultado dos testes. Nunca incluir palavras-passe no relatório.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Aptos" w:hAnsi="Aptos"/>
        <w:b w:val="0"/>
        <w:color w:val="5B6573"/>
        <w:sz w:val="16"/>
      </w:rPr>
      <w:t xml:space="preserve">Permissões Windows POS  |  Página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Permissões Windows para o POS Gourmet</dc:title>
  <dc:subject>Manual rápido para técnicos júnior</dc:subject>
  <dc:creator>Cacimbo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