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fill="0D1822"/>
            <w:tcBorders>
              <w:top w:val="single" w:sz="6" w:color="0D1822"/>
              <w:left w:val="single" w:sz="6" w:color="0D1822"/>
              <w:bottom w:val="single" w:sz="6" w:color="0D1822"/>
              <w:right w:val="single" w:sz="6" w:color="0D1822"/>
              <w:insideH w:val="single" w:sz="6" w:color="0D1822"/>
              <w:insideV w:val="single" w:sz="6" w:color="0D1822"/>
            </w:tcBorders>
          </w:tcPr>
          <w:p>
            <w:pPr>
              <w:spacing w:before="440" w:after="200"/>
            </w:pPr>
            <w:r>
              <w:rPr>
                <w:rFonts w:ascii="Aptos Display" w:hAnsi="Aptos Display"/>
                <w:b/>
                <w:color w:val="FFFFFF"/>
                <w:sz w:val="32"/>
              </w:rPr>
              <w:t>CACIMBO ERP</w:t>
            </w:r>
          </w:p>
          <w:p>
            <w:pPr>
              <w:spacing w:after="240"/>
            </w:pPr>
            <w:r>
              <w:rPr>
                <w:rFonts w:ascii="Aptos" w:hAnsi="Aptos"/>
                <w:b/>
                <w:color w:val="E5163E"/>
                <w:sz w:val="20"/>
              </w:rPr>
              <w:t>RELATÓRIO TÉCNICO E PLANO DE TESTES</w:t>
            </w:r>
          </w:p>
          <w:p>
            <w:pPr>
              <w:spacing w:after="200"/>
            </w:pPr>
            <w:r>
              <w:rPr>
                <w:rFonts w:ascii="Aptos Display" w:hAnsi="Aptos Display"/>
                <w:b/>
                <w:color w:val="FFFFFF"/>
                <w:sz w:val="54"/>
              </w:rPr>
              <w:t>Gestão hoteleira e Taxa de Turismo</w:t>
            </w:r>
          </w:p>
          <w:p>
            <w:pPr>
              <w:spacing w:after="560"/>
            </w:pPr>
            <w:r>
              <w:rPr>
                <w:rFonts w:ascii="Aptos" w:hAnsi="Aptos"/>
                <w:color w:val="D8E0E5"/>
                <w:sz w:val="26"/>
              </w:rPr>
              <w:t>Análise da implementação criada na 8.2026.0297, correções de robustez e preparação da entrega 8.2026.0298.</w:t>
            </w:r>
          </w:p>
          <w:p>
            <w:pPr>
              <w:spacing w:after="440"/>
            </w:pPr>
            <w:r>
              <w:rPr>
                <w:rFonts w:ascii="Aptos" w:hAnsi="Aptos"/>
                <w:color w:val="FFFFFF"/>
                <w:sz w:val="20"/>
              </w:rPr>
              <w:t>Versão 8.2026.0298  •  15 de outubro de 2026  •  Técnicos Cacimbo</w:t>
            </w:r>
          </w:p>
          <w:p/>
          <w:p/>
          <w:p/>
        </w:tc>
      </w:tr>
    </w:tbl>
    <w:p>
      <w:pPr>
        <w:jc w:val="center"/>
      </w:pPr>
      <w:r>
        <w:rPr>
          <w:color w:val="5F6B73"/>
          <w:sz w:val="17"/>
        </w:rPr>
        <w:t>Documento interno Cacimbo — validar sempre a legislação e os procedimentos do cliente.</w:t>
      </w:r>
    </w:p>
    <w:p>
      <w:r>
        <w:br w:type="page"/>
      </w:r>
    </w:p>
    <w:p>
      <w:pPr>
        <w:pStyle w:val="Heading1"/>
      </w:pPr>
      <w:r>
        <w:t>1. Resultado da análise</w:t>
      </w:r>
    </w:p>
    <w:p>
      <w:r>
        <w:t>A implementação introduz uma despesa hoteleira baseada num artigo, calculada como percentagem do preço da diária e limitada a uma quantidade máxima. Na empresa ligada, a configuração TT corresponde a 5% por diária, até 7 noites. O desenho está alinhado com os elementos centrais do Decreto Legislativo Presidencial n.º 4/26, de 30 de abril.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39"/>
      </w:tblGrid>
      <w:tr>
        <w:tc>
          <w:tcPr>
            <w:tcW w:type="dxa" w:w="9866"/>
            <w:shd w:fill="FCE8ED"/>
            <w:tcBorders>
              <w:top w:val="single" w:sz="14" w:color="E5163E"/>
              <w:left w:val="single" w:sz="14" w:color="E5163E"/>
              <w:bottom w:val="single" w:sz="14" w:color="E5163E"/>
              <w:right w:val="single" w:sz="14" w:color="E5163E"/>
              <w:insideH w:val="single" w:sz="14" w:color="E5163E"/>
              <w:insideV w:val="single" w:sz="14" w:color="E5163E"/>
            </w:tcBorders>
          </w:tcPr>
          <w:p>
            <w:pPr>
              <w:spacing w:after="60"/>
            </w:pPr>
            <w:r/>
            <w:r>
              <w:rPr>
                <w:b/>
                <w:color w:val="B90E3D"/>
                <w:sz w:val="20"/>
              </w:rPr>
              <w:t>Decisão de versão</w:t>
            </w:r>
          </w:p>
          <w:p>
            <w:pPr>
              <w:spacing w:after="40"/>
            </w:pPr>
            <w:r>
              <w:rPr>
                <w:sz w:val="18"/>
              </w:rPr>
              <w:t>A compilação 8.2026.0297 foi usada como base de análise. Como foram corrigidos o transporte da regra de IVA, a validação do limite e a apresentação dos campos, o executável e os setups finais ficam registados como 8.2026.0298.</w:t>
            </w:r>
          </w:p>
        </w:tc>
      </w:tr>
    </w:tbl>
    <w:p>
      <w:pPr>
        <w:spacing w:after="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regra_lega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color w:val="5F6B73"/>
          <w:sz w:val="17"/>
        </w:rPr>
        <w:t>Figura 1 — Síntese da regra legal e da configuração operacional.</w:t>
      </w:r>
    </w:p>
    <w:p>
      <w:pPr>
        <w:pStyle w:val="Heading1"/>
      </w:pPr>
      <w:r>
        <w:t>2. Enquadramento legal usado nos testes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1701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Regra</w:t>
            </w:r>
          </w:p>
        </w:tc>
        <w:tc>
          <w:tcPr>
            <w:tcW w:type="dxa" w:w="5669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Aplicação</w:t>
            </w:r>
          </w:p>
        </w:tc>
        <w:tc>
          <w:tcPr>
            <w:tcW w:type="dxa" w:w="1701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Referência</w:t>
            </w:r>
          </w:p>
        </w:tc>
      </w:tr>
      <w:tr>
        <w:tc>
          <w:tcPr>
            <w:tcW w:type="dxa" w:w="1701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Âmbito</w:t>
            </w:r>
          </w:p>
        </w:tc>
        <w:tc>
          <w:tcPr>
            <w:tcW w:type="dxa" w:w="56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Turistas internacionais em empreendimentos turísticos e alojamento local</w:t>
            </w:r>
          </w:p>
        </w:tc>
        <w:tc>
          <w:tcPr>
            <w:tcW w:type="dxa" w:w="1701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Art. 2.º</w:t>
            </w:r>
          </w:p>
        </w:tc>
      </w:tr>
      <w:tr>
        <w:tc>
          <w:tcPr>
            <w:tcW w:type="dxa" w:w="1701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Isenções</w:t>
            </w:r>
          </w:p>
        </w:tc>
        <w:tc>
          <w:tcPr>
            <w:tcW w:type="dxa" w:w="56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Turistas internos e turistas internacionais menores de 12 anos</w:t>
            </w:r>
          </w:p>
        </w:tc>
        <w:tc>
          <w:tcPr>
            <w:tcW w:type="dxa" w:w="1701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Art. 5.º, n.º 2</w:t>
            </w:r>
          </w:p>
        </w:tc>
      </w:tr>
      <w:tr>
        <w:tc>
          <w:tcPr>
            <w:tcW w:type="dxa" w:w="1701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Base</w:t>
            </w:r>
          </w:p>
        </w:tc>
        <w:tc>
          <w:tcPr>
            <w:tcW w:type="dxa" w:w="56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Diárias ou pernoites de turistas internacionais</w:t>
            </w:r>
          </w:p>
        </w:tc>
        <w:tc>
          <w:tcPr>
            <w:tcW w:type="dxa" w:w="1701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Art. 4.º</w:t>
            </w:r>
          </w:p>
        </w:tc>
      </w:tr>
      <w:tr>
        <w:tc>
          <w:tcPr>
            <w:tcW w:type="dxa" w:w="1701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Taxa</w:t>
            </w:r>
          </w:p>
        </w:tc>
        <w:tc>
          <w:tcPr>
            <w:tcW w:type="dxa" w:w="56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5% do valor da diária de hospedagem</w:t>
            </w:r>
          </w:p>
        </w:tc>
        <w:tc>
          <w:tcPr>
            <w:tcW w:type="dxa" w:w="1701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Art. 7.º</w:t>
            </w:r>
          </w:p>
        </w:tc>
      </w:tr>
      <w:tr>
        <w:tc>
          <w:tcPr>
            <w:tcW w:type="dxa" w:w="1701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Limite</w:t>
            </w:r>
          </w:p>
        </w:tc>
        <w:tc>
          <w:tcPr>
            <w:tcW w:type="dxa" w:w="56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Cobrança por diária, até 7 pernoites</w:t>
            </w:r>
          </w:p>
        </w:tc>
        <w:tc>
          <w:tcPr>
            <w:tcW w:type="dxa" w:w="1701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Art. 9.º, n.º 1</w:t>
            </w:r>
          </w:p>
        </w:tc>
      </w:tr>
      <w:tr>
        <w:tc>
          <w:tcPr>
            <w:tcW w:type="dxa" w:w="1701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Documento</w:t>
            </w:r>
          </w:p>
        </w:tc>
        <w:tc>
          <w:tcPr>
            <w:tcW w:type="dxa" w:w="56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Valor destacado no corpo da fatura ou recibo</w:t>
            </w:r>
          </w:p>
        </w:tc>
        <w:tc>
          <w:tcPr>
            <w:tcW w:type="dxa" w:w="1701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Art. 9.º, n.º 2</w:t>
            </w:r>
          </w:p>
        </w:tc>
      </w:tr>
      <w:tr>
        <w:tc>
          <w:tcPr>
            <w:tcW w:type="dxa" w:w="1701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Entrega</w:t>
            </w:r>
          </w:p>
        </w:tc>
        <w:tc>
          <w:tcPr>
            <w:tcW w:type="dxa" w:w="56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Até ao último dia útil do mês seguinte à cobrança</w:t>
            </w:r>
          </w:p>
        </w:tc>
        <w:tc>
          <w:tcPr>
            <w:tcW w:type="dxa" w:w="1701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Art. 9.º, n.º 3</w:t>
            </w:r>
          </w:p>
        </w:tc>
      </w:tr>
      <w:tr>
        <w:tc>
          <w:tcPr>
            <w:tcW w:type="dxa" w:w="1701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Auditoria</w:t>
            </w:r>
          </w:p>
        </w:tc>
        <w:tc>
          <w:tcPr>
            <w:tcW w:type="dxa" w:w="56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Faturas, recibos, mapas mensais e notas de crédito organizados</w:t>
            </w:r>
          </w:p>
        </w:tc>
        <w:tc>
          <w:tcPr>
            <w:tcW w:type="dxa" w:w="1701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Art. 10.º</w:t>
            </w:r>
          </w:p>
        </w:tc>
      </w:tr>
      <w:tr>
        <w:tc>
          <w:tcPr>
            <w:tcW w:type="dxa" w:w="1701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Receita</w:t>
            </w:r>
          </w:p>
        </w:tc>
        <w:tc>
          <w:tcPr>
            <w:tcW w:type="dxa" w:w="56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Entrada na CUT por RUPE</w:t>
            </w:r>
          </w:p>
        </w:tc>
        <w:tc>
          <w:tcPr>
            <w:tcW w:type="dxa" w:w="1701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Art. 11.º</w:t>
            </w:r>
          </w:p>
        </w:tc>
      </w:tr>
    </w:tbl>
    <w:p>
      <w:pPr>
        <w:spacing w:after="0"/>
      </w:pPr>
    </w:p>
    <w:p>
      <w:r>
        <w:t>Fonte consultada: Decreto Legislativo Presidencial n.º 4/26 — https://lex.ao/docs/presidente-da-republica/2026/decreto-legislativo-presidencial-n-o-4-26-de-30-de-abril/</w:t>
      </w:r>
    </w:p>
    <w:p>
      <w:pPr>
        <w:pStyle w:val="Heading1"/>
      </w:pPr>
      <w:r>
        <w:t>3. Alterações identificadas na 8.2026.0297</w:t>
      </w:r>
    </w:p>
    <w:p>
      <w:pPr>
        <w:pStyle w:val="ListBullet"/>
        <w:spacing w:after="60"/>
      </w:pPr>
      <w:r>
        <w:t>O tipo de despesa pode ter origem num artigo e usar uma unidade em percentagem.</w:t>
      </w:r>
    </w:p>
    <w:p>
      <w:pPr>
        <w:pStyle w:val="ListBullet"/>
        <w:spacing w:after="60"/>
      </w:pPr>
      <w:r>
        <w:t>Para unidade %, o preço da linha é calculado por: PVP do quarto × percentagem / 100.</w:t>
      </w:r>
    </w:p>
    <w:p>
      <w:pPr>
        <w:pStyle w:val="ListBullet"/>
        <w:spacing w:after="60"/>
      </w:pPr>
      <w:r>
        <w:t>Despesas diárias usam o número de noites da reserva como quantidade.</w:t>
      </w:r>
    </w:p>
    <w:p>
      <w:pPr>
        <w:pStyle w:val="ListBullet"/>
        <w:spacing w:after="60"/>
      </w:pPr>
      <w:r>
        <w:t>Quando o controlo do limite está ativo, a quantidade inicial é limitada ao máximo configurado.</w:t>
      </w:r>
    </w:p>
    <w:p>
      <w:pPr>
        <w:pStyle w:val="ListBullet"/>
        <w:spacing w:after="60"/>
      </w:pPr>
      <w:r>
        <w:t>O processamento de reservas passou a ignorar quartos com zero noites.</w:t>
      </w:r>
    </w:p>
    <w:p>
      <w:pPr>
        <w:pStyle w:val="ListBullet"/>
        <w:spacing w:after="60"/>
      </w:pPr>
      <w:r>
        <w:t>A divisão usada no texto informativo foi protegida contra quantidade zero.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2948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Ficheiro</w:t>
            </w:r>
          </w:p>
        </w:tc>
        <w:tc>
          <w:tcPr>
            <w:tcW w:type="dxa" w:w="2438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Zona</w:t>
            </w:r>
          </w:p>
        </w:tc>
        <w:tc>
          <w:tcPr>
            <w:tcW w:type="dxa" w:w="3685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Efeito</w:t>
            </w:r>
          </w:p>
        </w:tc>
      </w:tr>
      <w:tr>
        <w:tc>
          <w:tcPr>
            <w:tcW w:type="dxa" w:w="2948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frmHT_QuartosDespesas.frm</w:t>
            </w:r>
          </w:p>
        </w:tc>
        <w:tc>
          <w:tcPr>
            <w:tcW w:type="dxa" w:w="2438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G_ValueChanged</w:t>
            </w:r>
          </w:p>
        </w:tc>
        <w:tc>
          <w:tcPr>
            <w:tcW w:type="dxa" w:w="3685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Calcula percentagem, quantidade diária e limite.</w:t>
            </w:r>
          </w:p>
        </w:tc>
      </w:tr>
      <w:tr>
        <w:tc>
          <w:tcPr>
            <w:tcW w:type="dxa" w:w="2948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frmHT_Processar.frm</w:t>
            </w:r>
          </w:p>
        </w:tc>
        <w:tc>
          <w:tcPr>
            <w:tcW w:type="dxa" w:w="2438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LancarQuartosDespesas</w:t>
            </w:r>
          </w:p>
        </w:tc>
        <w:tc>
          <w:tcPr>
            <w:tcW w:type="dxa" w:w="3685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Transfere despesas para as linhas do documento.</w:t>
            </w:r>
          </w:p>
        </w:tc>
      </w:tr>
      <w:tr>
        <w:tc>
          <w:tcPr>
            <w:tcW w:type="dxa" w:w="2948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frmHT_Processar.frm</w:t>
            </w:r>
          </w:p>
        </w:tc>
        <w:tc>
          <w:tcPr>
            <w:tcW w:type="dxa" w:w="2438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consulta de reservas</w:t>
            </w:r>
          </w:p>
        </w:tc>
        <w:tc>
          <w:tcPr>
            <w:tcW w:type="dxa" w:w="3685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Exclui reservas sem noites.</w:t>
            </w:r>
          </w:p>
        </w:tc>
      </w:tr>
      <w:tr>
        <w:tc>
          <w:tcPr>
            <w:tcW w:type="dxa" w:w="2948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mdlHotel.bas</w:t>
            </w:r>
          </w:p>
        </w:tc>
        <w:tc>
          <w:tcPr>
            <w:tcW w:type="dxa" w:w="2438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erpHTDespesasTipo</w:t>
            </w:r>
          </w:p>
        </w:tc>
        <w:tc>
          <w:tcPr>
            <w:tcW w:type="dxa" w:w="3685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Mantém percentagem, diário, limite e respetivo controlo.</w:t>
            </w:r>
          </w:p>
        </w:tc>
      </w:tr>
    </w:tbl>
    <w:p>
      <w:pPr>
        <w:spacing w:after="0"/>
      </w:pPr>
    </w:p>
    <w:p>
      <w:pPr>
        <w:pStyle w:val="Heading1"/>
      </w:pPr>
      <w:r>
        <w:t>4. Correções acrescentadas na 8.2026.0298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2268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Correção</w:t>
            </w:r>
          </w:p>
        </w:tc>
        <w:tc>
          <w:tcPr>
            <w:tcW w:type="dxa" w:w="3402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Motivo</w:t>
            </w:r>
          </w:p>
        </w:tc>
        <w:tc>
          <w:tcPr>
            <w:tcW w:type="dxa" w:w="3402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Resultado</w:t>
            </w:r>
          </w:p>
        </w:tc>
      </w:tr>
      <w:tr>
        <w:tc>
          <w:tcPr>
            <w:tcW w:type="dxa" w:w="2268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IVA obtido do artigo</w:t>
            </w:r>
          </w:p>
        </w:tc>
        <w:tc>
          <w:tcPr>
            <w:tcW w:type="dxa" w:w="3402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ivaID não é persistido em HTReservasQuartosDespesas</w:t>
            </w:r>
          </w:p>
        </w:tc>
        <w:tc>
          <w:tcPr>
            <w:tcW w:type="dxa" w:w="3402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A linha TT usa a regra IVA do tipo do artigo, evitando ID 0 acidental.</w:t>
            </w:r>
          </w:p>
        </w:tc>
      </w:tr>
      <w:tr>
        <w:tc>
          <w:tcPr>
            <w:tcW w:type="dxa" w:w="2268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Limite validado na edição</w:t>
            </w:r>
          </w:p>
        </w:tc>
        <w:tc>
          <w:tcPr>
            <w:tcW w:type="dxa" w:w="3402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A quantidade podia ser alterada manualmente acima de 7</w:t>
            </w:r>
          </w:p>
        </w:tc>
        <w:tc>
          <w:tcPr>
            <w:tcW w:type="dxa" w:w="3402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O editor repõe a quantidade máxima e avisa o operador.</w:t>
            </w:r>
          </w:p>
        </w:tc>
      </w:tr>
      <w:tr>
        <w:tc>
          <w:tcPr>
            <w:tcW w:type="dxa" w:w="2268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Limite zero</w:t>
            </w:r>
          </w:p>
        </w:tc>
        <w:tc>
          <w:tcPr>
            <w:tcW w:type="dxa" w:w="3402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Com controlo ativo e máximo 0 a quantidade ficava zero</w:t>
            </w:r>
          </w:p>
        </w:tc>
        <w:tc>
          <w:tcPr>
            <w:tcW w:type="dxa" w:w="3402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Zero passa a significar sem limite.</w:t>
            </w:r>
          </w:p>
        </w:tc>
      </w:tr>
      <w:tr>
        <w:tc>
          <w:tcPr>
            <w:tcW w:type="dxa" w:w="2268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Rótulos funcionais</w:t>
            </w:r>
          </w:p>
        </w:tc>
        <w:tc>
          <w:tcPr>
            <w:tcW w:type="dxa" w:w="3402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Os campos herdados chamavam-se limite/controlo de stock</w:t>
            </w:r>
          </w:p>
        </w:tc>
        <w:tc>
          <w:tcPr>
            <w:tcW w:type="dxa" w:w="3402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A interface mostra Máx. quant. e Limitar.</w:t>
            </w:r>
          </w:p>
        </w:tc>
      </w:tr>
      <w:tr>
        <w:tc>
          <w:tcPr>
            <w:tcW w:type="dxa" w:w="2268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Bloco morto removido</w:t>
            </w:r>
          </w:p>
        </w:tc>
        <w:tc>
          <w:tcPr>
            <w:tcW w:type="dxa" w:w="3402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Teste de preço dentro do evento de quantidade nunca era verdadeiro</w:t>
            </w:r>
          </w:p>
        </w:tc>
        <w:tc>
          <w:tcPr>
            <w:tcW w:type="dxa" w:w="3402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Fluxo de edição mais claro e previsível.</w:t>
            </w:r>
          </w:p>
        </w:tc>
      </w:tr>
    </w:tbl>
    <w:p>
      <w:pPr>
        <w:spacing w:after="0"/>
      </w:pPr>
    </w:p>
    <w:p>
      <w:pPr>
        <w:pStyle w:val="Heading1"/>
      </w:pPr>
      <w:r>
        <w:t>5. Configuração observada na empresa ligada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835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Componente</w:t>
            </w:r>
          </w:p>
        </w:tc>
        <w:tc>
          <w:tcPr>
            <w:tcW w:type="dxa" w:w="6236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Valor verificado</w:t>
            </w:r>
          </w:p>
        </w:tc>
      </w:tr>
      <w:tr>
        <w:tc>
          <w:tcPr>
            <w:tcW w:type="dxa" w:w="2835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Empresa ativa</w:t>
            </w:r>
          </w:p>
        </w:tc>
        <w:tc>
          <w:tcPr>
            <w:tcW w:type="dxa" w:w="6236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KAWISSA 2 — catálogo 38</w:t>
            </w:r>
          </w:p>
        </w:tc>
      </w:tr>
      <w:tr>
        <w:tc>
          <w:tcPr>
            <w:tcW w:type="dxa" w:w="2835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Artigo</w:t>
            </w:r>
          </w:p>
        </w:tc>
        <w:tc>
          <w:tcPr>
            <w:tcW w:type="dxa" w:w="6236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 — Taxa de Turismo</w:t>
            </w:r>
          </w:p>
        </w:tc>
      </w:tr>
      <w:tr>
        <w:tc>
          <w:tcPr>
            <w:tcW w:type="dxa" w:w="2835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Categoria</w:t>
            </w:r>
          </w:p>
        </w:tc>
        <w:tc>
          <w:tcPr>
            <w:tcW w:type="dxa" w:w="6236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Alojamento</w:t>
            </w:r>
          </w:p>
        </w:tc>
      </w:tr>
      <w:tr>
        <w:tc>
          <w:tcPr>
            <w:tcW w:type="dxa" w:w="2835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Tipo de artigo</w:t>
            </w:r>
          </w:p>
        </w:tc>
        <w:tc>
          <w:tcPr>
            <w:tcW w:type="dxa" w:w="6236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Mercadoria sem IVA</w:t>
            </w:r>
          </w:p>
        </w:tc>
      </w:tr>
      <w:tr>
        <w:tc>
          <w:tcPr>
            <w:tcW w:type="dxa" w:w="2835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Regra IVA</w:t>
            </w:r>
          </w:p>
        </w:tc>
        <w:tc>
          <w:tcPr>
            <w:tcW w:type="dxa" w:w="6236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ID 4 — NS / OUT — 0%</w:t>
            </w:r>
          </w:p>
        </w:tc>
      </w:tr>
      <w:tr>
        <w:tc>
          <w:tcPr>
            <w:tcW w:type="dxa" w:w="2835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SAF-T ProductType</w:t>
            </w:r>
          </w:p>
        </w:tc>
        <w:tc>
          <w:tcPr>
            <w:tcW w:type="dxa" w:w="6236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</w:t>
            </w:r>
          </w:p>
        </w:tc>
      </w:tr>
      <w:tr>
        <w:tc>
          <w:tcPr>
            <w:tcW w:type="dxa" w:w="2835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Preço do artigo</w:t>
            </w:r>
          </w:p>
        </w:tc>
        <w:tc>
          <w:tcPr>
            <w:tcW w:type="dxa" w:w="6236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0; o valor é calculado pelo tipo de despesa</w:t>
            </w:r>
          </w:p>
        </w:tc>
      </w:tr>
      <w:tr>
        <w:tc>
          <w:tcPr>
            <w:tcW w:type="dxa" w:w="2835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Tipo de despesa</w:t>
            </w:r>
          </w:p>
        </w:tc>
        <w:tc>
          <w:tcPr>
            <w:tcW w:type="dxa" w:w="6236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Taxa Turismo; origem Artigo; diário; unidade %</w:t>
            </w:r>
          </w:p>
        </w:tc>
      </w:tr>
      <w:tr>
        <w:tc>
          <w:tcPr>
            <w:tcW w:type="dxa" w:w="2835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Percentagem</w:t>
            </w:r>
          </w:p>
        </w:tc>
        <w:tc>
          <w:tcPr>
            <w:tcW w:type="dxa" w:w="6236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5</w:t>
            </w:r>
          </w:p>
        </w:tc>
      </w:tr>
      <w:tr>
        <w:tc>
          <w:tcPr>
            <w:tcW w:type="dxa" w:w="2835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Quantidade máxima</w:t>
            </w:r>
          </w:p>
        </w:tc>
        <w:tc>
          <w:tcPr>
            <w:tcW w:type="dxa" w:w="6236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7, com controlo ativo</w:t>
            </w:r>
          </w:p>
        </w:tc>
      </w:tr>
      <w:tr>
        <w:tc>
          <w:tcPr>
            <w:tcW w:type="dxa" w:w="2835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Movimenta/controla stock</w:t>
            </w:r>
          </w:p>
        </w:tc>
        <w:tc>
          <w:tcPr>
            <w:tcW w:type="dxa" w:w="6236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Não</w:t>
            </w:r>
          </w:p>
        </w:tc>
      </w:tr>
    </w:tbl>
    <w:p>
      <w:pPr>
        <w:spacing w:after="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artigo_t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color w:val="5F6B73"/>
          <w:sz w:val="17"/>
        </w:rPr>
        <w:t>Figura 2 — Parâmetros do artigo TT reproduzidos no modelo.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tipo_despesa_t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color w:val="5F6B73"/>
          <w:sz w:val="17"/>
        </w:rPr>
        <w:t>Figura 3 — Linha do tipo de despesa usada no cálculo automático.</w:t>
      </w:r>
    </w:p>
    <w:p>
      <w:pPr>
        <w:pStyle w:val="Heading1"/>
      </w:pPr>
      <w:r>
        <w:t>6. Algoritmo funcional</w:t>
      </w:r>
    </w:p>
    <w:p>
      <w:r>
        <w:t>Ao selecionar Taxa Turismo nas despesas do quarto:</w:t>
      </w:r>
    </w:p>
    <w:p>
      <w:pPr>
        <w:pStyle w:val="ListBullet"/>
        <w:spacing w:after="60"/>
      </w:pPr>
      <w:r>
        <w:t>obtém o tipo de despesa TT;</w:t>
      </w:r>
    </w:p>
    <w:p>
      <w:pPr>
        <w:pStyle w:val="ListBullet"/>
        <w:spacing w:after="60"/>
      </w:pPr>
      <w:r>
        <w:t>calcula a quantidade pelas noites da reserva;</w:t>
      </w:r>
    </w:p>
    <w:p>
      <w:pPr>
        <w:pStyle w:val="ListBullet"/>
        <w:spacing w:after="60"/>
      </w:pPr>
      <w:r>
        <w:t>limita a quantidade a 7 quando o controlo está ativo;</w:t>
      </w:r>
    </w:p>
    <w:p>
      <w:pPr>
        <w:pStyle w:val="ListBullet"/>
        <w:spacing w:after="60"/>
      </w:pPr>
      <w:r>
        <w:t>obtém o artigo TT e a respetiva regra fiscal;</w:t>
      </w:r>
    </w:p>
    <w:p>
      <w:pPr>
        <w:pStyle w:val="ListBullet"/>
        <w:spacing w:after="60"/>
      </w:pPr>
      <w:r>
        <w:t>calcula o preço unitário como 5% do PVP do quarto;</w:t>
      </w:r>
    </w:p>
    <w:p>
      <w:pPr>
        <w:pStyle w:val="ListBullet"/>
        <w:spacing w:after="60"/>
      </w:pPr>
      <w:r>
        <w:t>calcula o total como preço unitário × quantidade;</w:t>
      </w:r>
    </w:p>
    <w:p>
      <w:pPr>
        <w:pStyle w:val="ListBullet"/>
        <w:spacing w:after="60"/>
      </w:pPr>
      <w:r>
        <w:t>na emissão, cria uma linha distinta no documento e associa-a à despesa da reserva.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calculo_t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color w:val="5F6B73"/>
          <w:sz w:val="17"/>
        </w:rPr>
        <w:t>Figura 4 — Casos de cálculo com limite de sete noites.</w:t>
      </w:r>
    </w:p>
    <w:p>
      <w:pPr>
        <w:pStyle w:val="Heading1"/>
      </w:pPr>
      <w:r>
        <w:t>7. Pontos de atenção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1191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Nível</w:t>
            </w:r>
          </w:p>
        </w:tc>
        <w:tc>
          <w:tcPr>
            <w:tcW w:type="dxa" w:w="3288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Ponto</w:t>
            </w:r>
          </w:p>
        </w:tc>
        <w:tc>
          <w:tcPr>
            <w:tcW w:type="dxa" w:w="4592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Tratamento</w:t>
            </w:r>
          </w:p>
        </w:tc>
      </w:tr>
      <w:tr>
        <w:tc>
          <w:tcPr>
            <w:tcW w:type="dxa" w:w="1191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Alto</w:t>
            </w:r>
          </w:p>
        </w:tc>
        <w:tc>
          <w:tcPr>
            <w:tcW w:type="dxa" w:w="3288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Elegibilidade não é automática</w:t>
            </w:r>
          </w:p>
        </w:tc>
        <w:tc>
          <w:tcPr>
            <w:tcW w:type="dxa" w:w="4592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Confirmar nacionalidade/residência e idade antes de adicionar TT.</w:t>
            </w:r>
          </w:p>
        </w:tc>
      </w:tr>
      <w:tr>
        <w:tc>
          <w:tcPr>
            <w:tcW w:type="dxa" w:w="1191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Alto</w:t>
            </w:r>
          </w:p>
        </w:tc>
        <w:tc>
          <w:tcPr>
            <w:tcW w:type="dxa" w:w="3288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Linha TT pode ser adicionada mais de uma vez</w:t>
            </w:r>
          </w:p>
        </w:tc>
        <w:tc>
          <w:tcPr>
            <w:tcW w:type="dxa" w:w="4592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Operador deve manter uma única linha TT por quarto/período; testar duplicação.</w:t>
            </w:r>
          </w:p>
        </w:tc>
      </w:tr>
      <w:tr>
        <w:tc>
          <w:tcPr>
            <w:tcW w:type="dxa" w:w="1191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Médio</w:t>
            </w:r>
          </w:p>
        </w:tc>
        <w:tc>
          <w:tcPr>
            <w:tcW w:type="dxa" w:w="3288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Preço usa o PVP atual da reserva</w:t>
            </w:r>
          </w:p>
        </w:tc>
        <w:tc>
          <w:tcPr>
            <w:tcW w:type="dxa" w:w="4592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Se o PVP mudar depois de adicionar TT, eliminar e voltar a adicionar a despesa.</w:t>
            </w:r>
          </w:p>
        </w:tc>
      </w:tr>
      <w:tr>
        <w:tc>
          <w:tcPr>
            <w:tcW w:type="dxa" w:w="1191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Médio</w:t>
            </w:r>
          </w:p>
        </w:tc>
        <w:tc>
          <w:tcPr>
            <w:tcW w:type="dxa" w:w="3288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Classificação SAF-T P replica a empresa ligada</w:t>
            </w:r>
          </w:p>
        </w:tc>
        <w:tc>
          <w:tcPr>
            <w:tcW w:type="dxa" w:w="4592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Contabilidade do cliente deve confirmar a classificação desejada para a contribuição.</w:t>
            </w:r>
          </w:p>
        </w:tc>
      </w:tr>
      <w:tr>
        <w:tc>
          <w:tcPr>
            <w:tcW w:type="dxa" w:w="1191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Baixo</w:t>
            </w:r>
          </w:p>
        </w:tc>
        <w:tc>
          <w:tcPr>
            <w:tcW w:type="dxa" w:w="3288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Modelo limpo não tem armazém</w:t>
            </w:r>
          </w:p>
        </w:tc>
        <w:tc>
          <w:tcPr>
            <w:tcW w:type="dxa" w:w="4592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A primeira instalação cria os registos de preço/stock ao criar o armazém; o artigo não movimenta stock.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39"/>
      </w:tblGrid>
      <w:tr>
        <w:tc>
          <w:tcPr>
            <w:tcW w:type="dxa" w:w="9866"/>
            <w:shd w:fill="F3F6F8"/>
            <w:tcBorders>
              <w:top w:val="single" w:sz="14" w:color="0D1822"/>
              <w:left w:val="single" w:sz="14" w:color="0D1822"/>
              <w:bottom w:val="single" w:sz="14" w:color="0D1822"/>
              <w:right w:val="single" w:sz="14" w:color="0D1822"/>
              <w:insideH w:val="single" w:sz="14" w:color="0D1822"/>
              <w:insideV w:val="single" w:sz="14" w:color="0D1822"/>
            </w:tcBorders>
          </w:tcPr>
          <w:p>
            <w:pPr>
              <w:spacing w:after="60"/>
            </w:pPr>
            <w:r/>
            <w:r>
              <w:rPr>
                <w:b/>
                <w:color w:val="0D1822"/>
                <w:sz w:val="20"/>
              </w:rPr>
              <w:t>Limite da automação atual</w:t>
            </w:r>
          </w:p>
          <w:p>
            <w:pPr>
              <w:spacing w:after="40"/>
            </w:pPr>
            <w:r>
              <w:rPr>
                <w:sz w:val="18"/>
              </w:rPr>
              <w:t>O ERP calcula taxa e limite, mas não decide sozinho se o hóspede é um turista internacional elegível. Esta decisão continua a ser operacional.</w:t>
            </w:r>
          </w:p>
        </w:tc>
      </w:tr>
    </w:tbl>
    <w:p>
      <w:pPr>
        <w:spacing w:after="0"/>
      </w:pPr>
    </w:p>
    <w:p>
      <w:pPr>
        <w:pStyle w:val="Heading1"/>
      </w:pPr>
      <w:r>
        <w:t>8. Plano de testes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850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ID</w:t>
            </w:r>
          </w:p>
        </w:tc>
        <w:tc>
          <w:tcPr>
            <w:tcW w:type="dxa" w:w="3969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Cenário</w:t>
            </w:r>
          </w:p>
        </w:tc>
        <w:tc>
          <w:tcPr>
            <w:tcW w:type="dxa" w:w="3969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Resultado esperado</w:t>
            </w:r>
          </w:p>
        </w:tc>
        <w:tc>
          <w:tcPr>
            <w:tcW w:type="dxa" w:w="680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Prio.</w:t>
            </w:r>
          </w:p>
        </w:tc>
      </w:tr>
      <w:tr>
        <w:tc>
          <w:tcPr>
            <w:tcW w:type="dxa" w:w="850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TT-01</w:t>
            </w:r>
          </w:p>
        </w:tc>
        <w:tc>
          <w:tcPr>
            <w:tcW w:type="dxa" w:w="39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Estrangeiro não residente, 1 noite, diária 100 000</w:t>
            </w:r>
          </w:p>
        </w:tc>
        <w:tc>
          <w:tcPr>
            <w:tcW w:type="dxa" w:w="39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Linha TT: quant. 1; unit. 5 000; total 5 000</w:t>
            </w:r>
          </w:p>
        </w:tc>
        <w:tc>
          <w:tcPr>
            <w:tcW w:type="dxa" w:w="680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P0</w:t>
            </w:r>
          </w:p>
        </w:tc>
      </w:tr>
      <w:tr>
        <w:tc>
          <w:tcPr>
            <w:tcW w:type="dxa" w:w="850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TT-02</w:t>
            </w:r>
          </w:p>
        </w:tc>
        <w:tc>
          <w:tcPr>
            <w:tcW w:type="dxa" w:w="39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Estrangeiro não residente, 3 noites</w:t>
            </w:r>
          </w:p>
        </w:tc>
        <w:tc>
          <w:tcPr>
            <w:tcW w:type="dxa" w:w="39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Quant. 3; total 15 000</w:t>
            </w:r>
          </w:p>
        </w:tc>
        <w:tc>
          <w:tcPr>
            <w:tcW w:type="dxa" w:w="680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P0</w:t>
            </w:r>
          </w:p>
        </w:tc>
      </w:tr>
      <w:tr>
        <w:tc>
          <w:tcPr>
            <w:tcW w:type="dxa" w:w="850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TT-03</w:t>
            </w:r>
          </w:p>
        </w:tc>
        <w:tc>
          <w:tcPr>
            <w:tcW w:type="dxa" w:w="39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Estrangeiro não residente, 7 noites</w:t>
            </w:r>
          </w:p>
        </w:tc>
        <w:tc>
          <w:tcPr>
            <w:tcW w:type="dxa" w:w="39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Quant. 7; total 35 000</w:t>
            </w:r>
          </w:p>
        </w:tc>
        <w:tc>
          <w:tcPr>
            <w:tcW w:type="dxa" w:w="680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P0</w:t>
            </w:r>
          </w:p>
        </w:tc>
      </w:tr>
      <w:tr>
        <w:tc>
          <w:tcPr>
            <w:tcW w:type="dxa" w:w="850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TT-04</w:t>
            </w:r>
          </w:p>
        </w:tc>
        <w:tc>
          <w:tcPr>
            <w:tcW w:type="dxa" w:w="39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Estrangeiro não residente, 10 noites</w:t>
            </w:r>
          </w:p>
        </w:tc>
        <w:tc>
          <w:tcPr>
            <w:tcW w:type="dxa" w:w="39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Quant. limitada a 7; total 35 000</w:t>
            </w:r>
          </w:p>
        </w:tc>
        <w:tc>
          <w:tcPr>
            <w:tcW w:type="dxa" w:w="680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P0</w:t>
            </w:r>
          </w:p>
        </w:tc>
      </w:tr>
      <w:tr>
        <w:tc>
          <w:tcPr>
            <w:tcW w:type="dxa" w:w="850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TT-05</w:t>
            </w:r>
          </w:p>
        </w:tc>
        <w:tc>
          <w:tcPr>
            <w:tcW w:type="dxa" w:w="39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Alterar manualmente quant. de 7 para 10</w:t>
            </w:r>
          </w:p>
        </w:tc>
        <w:tc>
          <w:tcPr>
            <w:tcW w:type="dxa" w:w="39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ERP repõe 7 e apresenta aviso</w:t>
            </w:r>
          </w:p>
        </w:tc>
        <w:tc>
          <w:tcPr>
            <w:tcW w:type="dxa" w:w="680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P0</w:t>
            </w:r>
          </w:p>
        </w:tc>
      </w:tr>
      <w:tr>
        <w:tc>
          <w:tcPr>
            <w:tcW w:type="dxa" w:w="850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TT-06</w:t>
            </w:r>
          </w:p>
        </w:tc>
        <w:tc>
          <w:tcPr>
            <w:tcW w:type="dxa" w:w="39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Máximo 0 com Limitar ativo</w:t>
            </w:r>
          </w:p>
        </w:tc>
        <w:tc>
          <w:tcPr>
            <w:tcW w:type="dxa" w:w="39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Sem redução automática para zero</w:t>
            </w:r>
          </w:p>
        </w:tc>
        <w:tc>
          <w:tcPr>
            <w:tcW w:type="dxa" w:w="680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P1</w:t>
            </w:r>
          </w:p>
        </w:tc>
      </w:tr>
      <w:tr>
        <w:tc>
          <w:tcPr>
            <w:tcW w:type="dxa" w:w="850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TT-07</w:t>
            </w:r>
          </w:p>
        </w:tc>
        <w:tc>
          <w:tcPr>
            <w:tcW w:type="dxa" w:w="39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Turista nacional</w:t>
            </w:r>
          </w:p>
        </w:tc>
        <w:tc>
          <w:tcPr>
            <w:tcW w:type="dxa" w:w="39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Operador não adiciona TT</w:t>
            </w:r>
          </w:p>
        </w:tc>
        <w:tc>
          <w:tcPr>
            <w:tcW w:type="dxa" w:w="680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P0</w:t>
            </w:r>
          </w:p>
        </w:tc>
      </w:tr>
      <w:tr>
        <w:tc>
          <w:tcPr>
            <w:tcW w:type="dxa" w:w="850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TT-08</w:t>
            </w:r>
          </w:p>
        </w:tc>
        <w:tc>
          <w:tcPr>
            <w:tcW w:type="dxa" w:w="39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Estrangeiro residente</w:t>
            </w:r>
          </w:p>
        </w:tc>
        <w:tc>
          <w:tcPr>
            <w:tcW w:type="dxa" w:w="39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Operador não adiciona TT</w:t>
            </w:r>
          </w:p>
        </w:tc>
        <w:tc>
          <w:tcPr>
            <w:tcW w:type="dxa" w:w="680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P0</w:t>
            </w:r>
          </w:p>
        </w:tc>
      </w:tr>
      <w:tr>
        <w:tc>
          <w:tcPr>
            <w:tcW w:type="dxa" w:w="850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TT-09</w:t>
            </w:r>
          </w:p>
        </w:tc>
        <w:tc>
          <w:tcPr>
            <w:tcW w:type="dxa" w:w="39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Turista internacional com 11 anos</w:t>
            </w:r>
          </w:p>
        </w:tc>
        <w:tc>
          <w:tcPr>
            <w:tcW w:type="dxa" w:w="39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Operador não adiciona TT</w:t>
            </w:r>
          </w:p>
        </w:tc>
        <w:tc>
          <w:tcPr>
            <w:tcW w:type="dxa" w:w="680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P0</w:t>
            </w:r>
          </w:p>
        </w:tc>
      </w:tr>
      <w:tr>
        <w:tc>
          <w:tcPr>
            <w:tcW w:type="dxa" w:w="850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TT-10</w:t>
            </w:r>
          </w:p>
        </w:tc>
        <w:tc>
          <w:tcPr>
            <w:tcW w:type="dxa" w:w="39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Turista internacional com 12 anos</w:t>
            </w:r>
          </w:p>
        </w:tc>
        <w:tc>
          <w:tcPr>
            <w:tcW w:type="dxa" w:w="39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 aplicável</w:t>
            </w:r>
          </w:p>
        </w:tc>
        <w:tc>
          <w:tcPr>
            <w:tcW w:type="dxa" w:w="680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P0</w:t>
            </w:r>
          </w:p>
        </w:tc>
      </w:tr>
      <w:tr>
        <w:tc>
          <w:tcPr>
            <w:tcW w:type="dxa" w:w="850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TT-11</w:t>
            </w:r>
          </w:p>
        </w:tc>
        <w:tc>
          <w:tcPr>
            <w:tcW w:type="dxa" w:w="39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Reserva day-use / zero noites</w:t>
            </w:r>
          </w:p>
        </w:tc>
        <w:tc>
          <w:tcPr>
            <w:tcW w:type="dxa" w:w="39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Não cria cobrança de TT</w:t>
            </w:r>
          </w:p>
        </w:tc>
        <w:tc>
          <w:tcPr>
            <w:tcW w:type="dxa" w:w="680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P0</w:t>
            </w:r>
          </w:p>
        </w:tc>
      </w:tr>
      <w:tr>
        <w:tc>
          <w:tcPr>
            <w:tcW w:type="dxa" w:w="850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TT-12</w:t>
            </w:r>
          </w:p>
        </w:tc>
        <w:tc>
          <w:tcPr>
            <w:tcW w:type="dxa" w:w="39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PVP do quarto 0</w:t>
            </w:r>
          </w:p>
        </w:tc>
        <w:tc>
          <w:tcPr>
            <w:tcW w:type="dxa" w:w="39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 total 0; emissão deve ser bloqueada/revista conforme regra do documento</w:t>
            </w:r>
          </w:p>
        </w:tc>
        <w:tc>
          <w:tcPr>
            <w:tcW w:type="dxa" w:w="680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P1</w:t>
            </w:r>
          </w:p>
        </w:tc>
      </w:tr>
      <w:tr>
        <w:tc>
          <w:tcPr>
            <w:tcW w:type="dxa" w:w="850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TT-13</w:t>
            </w:r>
          </w:p>
        </w:tc>
        <w:tc>
          <w:tcPr>
            <w:tcW w:type="dxa" w:w="39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PVP com casas decimais</w:t>
            </w:r>
          </w:p>
        </w:tc>
        <w:tc>
          <w:tcPr>
            <w:tcW w:type="dxa" w:w="39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Arredondamento segue o documento e não perde cêntimos</w:t>
            </w:r>
          </w:p>
        </w:tc>
        <w:tc>
          <w:tcPr>
            <w:tcW w:type="dxa" w:w="680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P1</w:t>
            </w:r>
          </w:p>
        </w:tc>
      </w:tr>
      <w:tr>
        <w:tc>
          <w:tcPr>
            <w:tcW w:type="dxa" w:w="850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TT-14</w:t>
            </w:r>
          </w:p>
        </w:tc>
        <w:tc>
          <w:tcPr>
            <w:tcW w:type="dxa" w:w="39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Moeda diferente de AKZ</w:t>
            </w:r>
          </w:p>
        </w:tc>
        <w:tc>
          <w:tcPr>
            <w:tcW w:type="dxa" w:w="39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Preço e câmbio mantêm coerência; confirmar regra operacional do cliente</w:t>
            </w:r>
          </w:p>
        </w:tc>
        <w:tc>
          <w:tcPr>
            <w:tcW w:type="dxa" w:w="680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P1</w:t>
            </w:r>
          </w:p>
        </w:tc>
      </w:tr>
      <w:tr>
        <w:tc>
          <w:tcPr>
            <w:tcW w:type="dxa" w:w="850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TT-15</w:t>
            </w:r>
          </w:p>
        </w:tc>
        <w:tc>
          <w:tcPr>
            <w:tcW w:type="dxa" w:w="39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Mudar PVP antes de inserir TT</w:t>
            </w:r>
          </w:p>
        </w:tc>
        <w:tc>
          <w:tcPr>
            <w:tcW w:type="dxa" w:w="39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 usa 5% do novo PVP</w:t>
            </w:r>
          </w:p>
        </w:tc>
        <w:tc>
          <w:tcPr>
            <w:tcW w:type="dxa" w:w="680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P0</w:t>
            </w:r>
          </w:p>
        </w:tc>
      </w:tr>
      <w:tr>
        <w:tc>
          <w:tcPr>
            <w:tcW w:type="dxa" w:w="850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TT-16</w:t>
            </w:r>
          </w:p>
        </w:tc>
        <w:tc>
          <w:tcPr>
            <w:tcW w:type="dxa" w:w="39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Mudar PVP depois de inserir TT</w:t>
            </w:r>
          </w:p>
        </w:tc>
        <w:tc>
          <w:tcPr>
            <w:tcW w:type="dxa" w:w="39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Detetar que exige recriar/atualizar a linha</w:t>
            </w:r>
          </w:p>
        </w:tc>
        <w:tc>
          <w:tcPr>
            <w:tcW w:type="dxa" w:w="680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P1</w:t>
            </w:r>
          </w:p>
        </w:tc>
      </w:tr>
      <w:tr>
        <w:tc>
          <w:tcPr>
            <w:tcW w:type="dxa" w:w="850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TT-17</w:t>
            </w:r>
          </w:p>
        </w:tc>
        <w:tc>
          <w:tcPr>
            <w:tcW w:type="dxa" w:w="39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Adicionar TT duas vezes</w:t>
            </w:r>
          </w:p>
        </w:tc>
        <w:tc>
          <w:tcPr>
            <w:tcW w:type="dxa" w:w="39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Detetar duplicação durante revisão antes da emissão</w:t>
            </w:r>
          </w:p>
        </w:tc>
        <w:tc>
          <w:tcPr>
            <w:tcW w:type="dxa" w:w="680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P0</w:t>
            </w:r>
          </w:p>
        </w:tc>
      </w:tr>
      <w:tr>
        <w:tc>
          <w:tcPr>
            <w:tcW w:type="dxa" w:w="850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TT-18</w:t>
            </w:r>
          </w:p>
        </w:tc>
        <w:tc>
          <w:tcPr>
            <w:tcW w:type="dxa" w:w="39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Emitir fatura</w:t>
            </w:r>
          </w:p>
        </w:tc>
        <w:tc>
          <w:tcPr>
            <w:tcW w:type="dxa" w:w="39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Linha TT discriminada no corpo do documento</w:t>
            </w:r>
          </w:p>
        </w:tc>
        <w:tc>
          <w:tcPr>
            <w:tcW w:type="dxa" w:w="680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P0</w:t>
            </w:r>
          </w:p>
        </w:tc>
      </w:tr>
      <w:tr>
        <w:tc>
          <w:tcPr>
            <w:tcW w:type="dxa" w:w="850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TT-19</w:t>
            </w:r>
          </w:p>
        </w:tc>
        <w:tc>
          <w:tcPr>
            <w:tcW w:type="dxa" w:w="39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Emitir recibo</w:t>
            </w:r>
          </w:p>
        </w:tc>
        <w:tc>
          <w:tcPr>
            <w:tcW w:type="dxa" w:w="39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Valor TT discriminado e total coerente</w:t>
            </w:r>
          </w:p>
        </w:tc>
        <w:tc>
          <w:tcPr>
            <w:tcW w:type="dxa" w:w="680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P0</w:t>
            </w:r>
          </w:p>
        </w:tc>
      </w:tr>
      <w:tr>
        <w:tc>
          <w:tcPr>
            <w:tcW w:type="dxa" w:w="850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TT-20</w:t>
            </w:r>
          </w:p>
        </w:tc>
        <w:tc>
          <w:tcPr>
            <w:tcW w:type="dxa" w:w="39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Anular/creditar documento</w:t>
            </w:r>
          </w:p>
        </w:tc>
        <w:tc>
          <w:tcPr>
            <w:tcW w:type="dxa" w:w="39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Regularização preserva artigo e valor TT</w:t>
            </w:r>
          </w:p>
        </w:tc>
        <w:tc>
          <w:tcPr>
            <w:tcW w:type="dxa" w:w="680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P0</w:t>
            </w:r>
          </w:p>
        </w:tc>
      </w:tr>
      <w:tr>
        <w:tc>
          <w:tcPr>
            <w:tcW w:type="dxa" w:w="850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TT-21</w:t>
            </w:r>
          </w:p>
        </w:tc>
        <w:tc>
          <w:tcPr>
            <w:tcW w:type="dxa" w:w="39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Gerar SAF-T</w:t>
            </w:r>
          </w:p>
        </w:tc>
        <w:tc>
          <w:tcPr>
            <w:tcW w:type="dxa" w:w="39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Artigo TT exportado sem erro; IVA NS/OUT e ProductType P</w:t>
            </w:r>
          </w:p>
        </w:tc>
        <w:tc>
          <w:tcPr>
            <w:tcW w:type="dxa" w:w="680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P0</w:t>
            </w:r>
          </w:p>
        </w:tc>
      </w:tr>
      <w:tr>
        <w:tc>
          <w:tcPr>
            <w:tcW w:type="dxa" w:w="850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TT-22</w:t>
            </w:r>
          </w:p>
        </w:tc>
        <w:tc>
          <w:tcPr>
            <w:tcW w:type="dxa" w:w="39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Falha durante emissão</w:t>
            </w:r>
          </w:p>
        </w:tc>
        <w:tc>
          <w:tcPr>
            <w:tcW w:type="dxa" w:w="39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Sem despesa marcada como faturada sem linha válida</w:t>
            </w:r>
          </w:p>
        </w:tc>
        <w:tc>
          <w:tcPr>
            <w:tcW w:type="dxa" w:w="680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P0</w:t>
            </w:r>
          </w:p>
        </w:tc>
      </w:tr>
      <w:tr>
        <w:tc>
          <w:tcPr>
            <w:tcW w:type="dxa" w:w="850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TT-23</w:t>
            </w:r>
          </w:p>
        </w:tc>
        <w:tc>
          <w:tcPr>
            <w:tcW w:type="dxa" w:w="39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Nova empresa pelo modelo</w:t>
            </w:r>
          </w:p>
        </w:tc>
        <w:tc>
          <w:tcPr>
            <w:tcW w:type="dxa" w:w="39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Artigo e tipo TT já disponíveis</w:t>
            </w:r>
          </w:p>
        </w:tc>
        <w:tc>
          <w:tcPr>
            <w:tcW w:type="dxa" w:w="680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P0</w:t>
            </w:r>
          </w:p>
        </w:tc>
      </w:tr>
      <w:tr>
        <w:tc>
          <w:tcPr>
            <w:tcW w:type="dxa" w:w="850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TT-24</w:t>
            </w:r>
          </w:p>
        </w:tc>
        <w:tc>
          <w:tcPr>
            <w:tcW w:type="dxa" w:w="39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Empresa existente atualizada</w:t>
            </w:r>
          </w:p>
        </w:tc>
        <w:tc>
          <w:tcPr>
            <w:tcW w:type="dxa" w:w="3969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Configuração existente não é duplicada</w:t>
            </w:r>
          </w:p>
        </w:tc>
        <w:tc>
          <w:tcPr>
            <w:tcW w:type="dxa" w:w="680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P1</w:t>
            </w:r>
          </w:p>
        </w:tc>
      </w:tr>
      <w:tr>
        <w:tc>
          <w:tcPr>
            <w:tcW w:type="dxa" w:w="850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TT-25</w:t>
            </w:r>
          </w:p>
        </w:tc>
        <w:tc>
          <w:tcPr>
            <w:tcW w:type="dxa" w:w="39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Mapa mensal</w:t>
            </w:r>
          </w:p>
        </w:tc>
        <w:tc>
          <w:tcPr>
            <w:tcW w:type="dxa" w:w="3969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Total TT conciliável com faturas, recibos e notas de crédito</w:t>
            </w:r>
          </w:p>
        </w:tc>
        <w:tc>
          <w:tcPr>
            <w:tcW w:type="dxa" w:w="680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P0</w:t>
            </w:r>
          </w:p>
        </w:tc>
      </w:tr>
    </w:tbl>
    <w:p>
      <w:pPr>
        <w:spacing w:after="0"/>
      </w:pPr>
    </w:p>
    <w:p>
      <w:pPr>
        <w:pStyle w:val="Heading1"/>
      </w:pPr>
      <w:r>
        <w:t>9. Critérios de aceitação</w:t>
      </w:r>
    </w:p>
    <w:p>
      <w:pPr>
        <w:pStyle w:val="ListBullet"/>
        <w:spacing w:after="60"/>
      </w:pPr>
      <w:r>
        <w:t>Todos os casos P0 executados sem diferenças.</w:t>
      </w:r>
    </w:p>
    <w:p>
      <w:pPr>
        <w:pStyle w:val="ListBullet"/>
        <w:spacing w:after="60"/>
      </w:pPr>
      <w:r>
        <w:t>Nenhuma quantidade TT superior a 7 é gravada.</w:t>
      </w:r>
    </w:p>
    <w:p>
      <w:pPr>
        <w:pStyle w:val="ListBullet"/>
        <w:spacing w:after="60"/>
      </w:pPr>
      <w:r>
        <w:t>A linha TT usa a regra IVA do artigo e aparece discriminada no documento.</w:t>
      </w:r>
    </w:p>
    <w:p>
      <w:pPr>
        <w:pStyle w:val="ListBullet"/>
        <w:spacing w:after="60"/>
      </w:pPr>
      <w:r>
        <w:t>O SAF-T é gerado sem erros estruturais relacionados com o artigo TT.</w:t>
      </w:r>
    </w:p>
    <w:p>
      <w:pPr>
        <w:pStyle w:val="ListBullet"/>
        <w:spacing w:after="60"/>
      </w:pPr>
      <w:r>
        <w:t>O modelo de base de dados cria a configuração sem duplicados.</w:t>
      </w:r>
    </w:p>
    <w:p>
      <w:pPr>
        <w:pStyle w:val="ListBullet"/>
        <w:spacing w:after="60"/>
      </w:pPr>
      <w:r>
        <w:t>O total mensal de TT é conciliável com documentos e regularizações.</w:t>
      </w:r>
    </w:p>
    <w:p>
      <w:pPr>
        <w:pStyle w:val="Heading1"/>
      </w:pPr>
      <w:r>
        <w:t>10. Evidências técnicas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835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Item</w:t>
            </w:r>
          </w:p>
        </w:tc>
        <w:tc>
          <w:tcPr>
            <w:tcW w:type="dxa" w:w="6236"/>
            <w:shd w:fill="0D1822"/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Evidência</w:t>
            </w:r>
          </w:p>
        </w:tc>
      </w:tr>
      <w:tr>
        <w:tc>
          <w:tcPr>
            <w:tcW w:type="dxa" w:w="2835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Executável de base</w:t>
            </w:r>
          </w:p>
        </w:tc>
        <w:tc>
          <w:tcPr>
            <w:tcW w:type="dxa" w:w="6236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8.2026.0297, compilado em 15/10/2026 03:16</w:t>
            </w:r>
          </w:p>
        </w:tc>
      </w:tr>
      <w:tr>
        <w:tc>
          <w:tcPr>
            <w:tcW w:type="dxa" w:w="2835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Executável entregue</w:t>
            </w:r>
          </w:p>
        </w:tc>
        <w:tc>
          <w:tcPr>
            <w:tcW w:type="dxa" w:w="6236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8.2026.0298, compilado com sucesso em 15/10/2026 04:34</w:t>
            </w:r>
          </w:p>
        </w:tc>
      </w:tr>
      <w:tr>
        <w:tc>
          <w:tcPr>
            <w:tcW w:type="dxa" w:w="2835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Projeto de entrega</w:t>
            </w:r>
          </w:p>
        </w:tc>
        <w:tc>
          <w:tcPr>
            <w:tcW w:type="dxa" w:w="6236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Compilação produzida com revisão 298; projeto preparado para a próxima revisão 299</w:t>
            </w:r>
          </w:p>
        </w:tc>
      </w:tr>
      <w:tr>
        <w:tc>
          <w:tcPr>
            <w:tcW w:type="dxa" w:w="2835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SHA-256 do executável</w:t>
            </w:r>
          </w:p>
        </w:tc>
        <w:tc>
          <w:tcPr>
            <w:tcW w:type="dxa" w:w="6236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29A46102E901163034DBC06702F1AF32FFB1075BA09CBEFB74198541BE1274B9</w:t>
            </w:r>
          </w:p>
        </w:tc>
      </w:tr>
      <w:tr>
        <w:tc>
          <w:tcPr>
            <w:tcW w:type="dxa" w:w="2835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Modelo atualizado</w:t>
            </w:r>
          </w:p>
        </w:tc>
        <w:tc>
          <w:tcPr>
            <w:tcW w:type="dxa" w:w="6236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C:\Cacimbo erp\DB\cacimbodb_modelo.MDB</w:t>
            </w:r>
          </w:p>
        </w:tc>
      </w:tr>
      <w:tr>
        <w:tc>
          <w:tcPr>
            <w:tcW w:type="dxa" w:w="2835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Script idempotente</w:t>
            </w:r>
          </w:p>
        </w:tc>
        <w:tc>
          <w:tcPr>
            <w:tcW w:type="dxa" w:w="6236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tools\Apply-TourismTaxTemplate.ps1</w:t>
            </w:r>
          </w:p>
        </w:tc>
      </w:tr>
      <w:tr>
        <w:tc>
          <w:tcPr>
            <w:tcW w:type="dxa" w:w="2835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Validador</w:t>
            </w:r>
          </w:p>
        </w:tc>
        <w:tc>
          <w:tcPr>
            <w:tcW w:type="dxa" w:w="6236"/>
            <w:shd w:fill="FFFFFF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tools\Inspect-TourismTax.ps1</w:t>
            </w:r>
          </w:p>
        </w:tc>
      </w:tr>
      <w:tr>
        <w:tc>
          <w:tcPr>
            <w:tcW w:type="dxa" w:w="2835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Base de referência</w:t>
            </w:r>
          </w:p>
        </w:tc>
        <w:tc>
          <w:tcPr>
            <w:tcW w:type="dxa" w:w="6236"/>
            <w:shd w:fill="F3F6F8"/>
            <w:vAlign w:val="center"/>
            <w:tcBorders>
              <w:top w:val="single" w:sz="6" w:color="D8E0E5"/>
              <w:left w:val="single" w:sz="6" w:color="D8E0E5"/>
              <w:bottom w:val="single" w:sz="6" w:color="D8E0E5"/>
              <w:right w:val="single" w:sz="6" w:color="D8E0E5"/>
              <w:insideH w:val="single" w:sz="6" w:color="D8E0E5"/>
              <w:insideV w:val="single" w:sz="6" w:color="D8E0E5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1A232B"/>
                <w:sz w:val="16"/>
              </w:rPr>
              <w:t>C:\Users\carlo\Desktop\cacimbo\dbs\ksaurimodb\ksaurimodb.mdb</w:t>
            </w:r>
          </w:p>
        </w:tc>
      </w:tr>
    </w:tbl>
    <w:p>
      <w:pPr>
        <w:spacing w:after="0"/>
      </w:pPr>
    </w:p>
    <w:p>
      <w:r>
        <w:t>Fim do relatório.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color w:val="5F6B73"/>
        <w:sz w:val="16"/>
      </w:rPr>
      <w:t>Cacimbo Angola, Lda.  •  Versão 8.2026.0298  •  Uso controlado</w:t>
    </w:r>
    <w:r>
      <w:t xml:space="preserve">    </w:t>
    </w:r>
    <w: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color w:val="5F6B73"/>
        <w:sz w:val="16"/>
      </w:rPr>
      <w:t>CACIMBO ERP  |  Relatório técnico — Taxa de Turismo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1A232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D1822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B90E3D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62632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40"/>
      <w:contextualSpacing/>
    </w:pPr>
    <w:rPr>
      <w:rFonts w:asciiTheme="majorHAnsi" w:eastAsiaTheme="majorEastAsia" w:hAnsiTheme="majorHAnsi" w:cstheme="majorBidi" w:ascii="Aptos Display" w:hAnsi="Aptos Display"/>
      <w:b/>
      <w:color w:val="0D1822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Relatório técnico — Taxa de Turismo</dc:title>
  <dc:subject>Taxa de Turismo em Angola no Cacimbo ERP</dc:subject>
  <dc:creator>Cacimbo Angola, Lda.</dc:creator>
  <cp:keywords>Cacimbo ERP, Hotelaria, Taxa de Turismo, Angola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